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5D83F" w14:textId="77777777" w:rsidR="0092195F" w:rsidRDefault="00A55677">
      <w:pPr>
        <w:jc w:val="left"/>
      </w:pPr>
      <w:r>
        <w:rPr>
          <w:rFonts w:ascii="宋体" w:hAnsi="宋体" w:hint="eastAsia"/>
        </w:rPr>
        <w:t>附件1：</w:t>
      </w:r>
    </w:p>
    <w:p w14:paraId="1A85AF9F" w14:textId="77777777" w:rsidR="0092195F" w:rsidRDefault="00A55677">
      <w:pPr>
        <w:pStyle w:val="2"/>
        <w:numPr>
          <w:ilvl w:val="0"/>
          <w:numId w:val="1"/>
        </w:numPr>
        <w:ind w:left="643" w:hanging="643"/>
        <w:rPr>
          <w:sz w:val="24"/>
          <w:szCs w:val="24"/>
        </w:rPr>
      </w:pPr>
      <w:r>
        <w:rPr>
          <w:rFonts w:ascii="宋体" w:hAnsi="宋体" w:hint="eastAsia"/>
          <w:sz w:val="24"/>
          <w:szCs w:val="24"/>
        </w:rPr>
        <w:t>技术参数及要求</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7797"/>
      </w:tblGrid>
      <w:tr w:rsidR="0092195F" w14:paraId="49357587" w14:textId="77777777">
        <w:trPr>
          <w:trHeight w:val="494"/>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15AF2C39" w14:textId="77777777" w:rsidR="0092195F" w:rsidRDefault="00A55677">
            <w:pPr>
              <w:widowControl/>
              <w:spacing w:line="273" w:lineRule="auto"/>
              <w:jc w:val="center"/>
              <w:rPr>
                <w:rFonts w:ascii="宋体" w:hAnsi="宋体"/>
                <w:b/>
                <w:bCs/>
                <w:kern w:val="0"/>
              </w:rPr>
            </w:pPr>
            <w:r>
              <w:rPr>
                <w:rFonts w:ascii="宋体" w:hAnsi="宋体" w:hint="eastAsia"/>
                <w:b/>
                <w:bCs/>
                <w:kern w:val="0"/>
              </w:rPr>
              <w:t>服务项目</w:t>
            </w:r>
          </w:p>
        </w:tc>
        <w:tc>
          <w:tcPr>
            <w:tcW w:w="7797" w:type="dxa"/>
            <w:tcBorders>
              <w:top w:val="single" w:sz="4" w:space="0" w:color="000000"/>
              <w:left w:val="nil"/>
              <w:bottom w:val="single" w:sz="4" w:space="0" w:color="000000"/>
              <w:right w:val="single" w:sz="4" w:space="0" w:color="000000"/>
            </w:tcBorders>
            <w:vAlign w:val="center"/>
          </w:tcPr>
          <w:p w14:paraId="7C4048CA" w14:textId="77777777" w:rsidR="0092195F" w:rsidRDefault="00A55677">
            <w:pPr>
              <w:widowControl/>
              <w:spacing w:line="273" w:lineRule="auto"/>
              <w:jc w:val="center"/>
              <w:rPr>
                <w:rFonts w:ascii="宋体" w:hAnsi="宋体"/>
                <w:b/>
                <w:bCs/>
              </w:rPr>
            </w:pPr>
            <w:r>
              <w:rPr>
                <w:rFonts w:ascii="宋体" w:hAnsi="宋体" w:hint="eastAsia"/>
                <w:b/>
                <w:bCs/>
                <w:kern w:val="0"/>
              </w:rPr>
              <w:t>技术参数及要求</w:t>
            </w:r>
          </w:p>
        </w:tc>
      </w:tr>
      <w:tr w:rsidR="00F87FE8" w:rsidRPr="00F87FE8" w14:paraId="0A370826" w14:textId="77777777">
        <w:trPr>
          <w:trHeight w:val="494"/>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22EA9788" w14:textId="77777777" w:rsidR="0092195F" w:rsidRDefault="00A55677">
            <w:pPr>
              <w:widowControl/>
              <w:spacing w:line="273" w:lineRule="auto"/>
              <w:jc w:val="left"/>
              <w:rPr>
                <w:rFonts w:ascii="宋体" w:hAnsi="宋体"/>
                <w:b/>
                <w:bCs/>
                <w:kern w:val="0"/>
              </w:rPr>
            </w:pPr>
            <w:r>
              <w:rPr>
                <w:rFonts w:ascii="宋体" w:hAnsi="宋体" w:hint="eastAsia"/>
                <w:b/>
                <w:bCs/>
                <w:kern w:val="0"/>
              </w:rPr>
              <w:t>测绘测量虚拟仿真实训平台</w:t>
            </w:r>
          </w:p>
        </w:tc>
        <w:tc>
          <w:tcPr>
            <w:tcW w:w="7797" w:type="dxa"/>
            <w:tcBorders>
              <w:top w:val="single" w:sz="4" w:space="0" w:color="000000"/>
              <w:left w:val="nil"/>
              <w:bottom w:val="single" w:sz="4" w:space="0" w:color="000000"/>
              <w:right w:val="single" w:sz="4" w:space="0" w:color="000000"/>
            </w:tcBorders>
            <w:vAlign w:val="center"/>
          </w:tcPr>
          <w:p w14:paraId="1CC40DEE" w14:textId="77777777" w:rsidR="0092195F" w:rsidRPr="00F87FE8" w:rsidRDefault="00A55677" w:rsidP="004C2DFF">
            <w:pPr>
              <w:widowControl/>
              <w:spacing w:line="288" w:lineRule="auto"/>
              <w:jc w:val="left"/>
              <w:rPr>
                <w:rFonts w:ascii="宋体" w:hAnsi="宋体"/>
                <w:b/>
                <w:bCs/>
                <w:color w:val="000000" w:themeColor="text1"/>
                <w:kern w:val="0"/>
              </w:rPr>
            </w:pPr>
            <w:r w:rsidRPr="00F87FE8">
              <w:rPr>
                <w:rFonts w:ascii="宋体" w:hAnsi="宋体" w:hint="eastAsia"/>
                <w:b/>
                <w:bCs/>
                <w:color w:val="000000" w:themeColor="text1"/>
                <w:kern w:val="0"/>
              </w:rPr>
              <w:t>技术参数:</w:t>
            </w:r>
          </w:p>
          <w:p w14:paraId="28572EEA" w14:textId="77777777" w:rsidR="0092195F" w:rsidRPr="00F87FE8" w:rsidRDefault="00A55677" w:rsidP="004C2DFF">
            <w:pPr>
              <w:widowControl/>
              <w:spacing w:line="288" w:lineRule="auto"/>
              <w:ind w:firstLineChars="200" w:firstLine="420"/>
              <w:jc w:val="left"/>
              <w:rPr>
                <w:bCs/>
                <w:color w:val="000000" w:themeColor="text1"/>
              </w:rPr>
            </w:pPr>
            <w:r w:rsidRPr="00F87FE8">
              <w:rPr>
                <w:rFonts w:hint="eastAsia"/>
                <w:bCs/>
                <w:color w:val="000000" w:themeColor="text1"/>
              </w:rPr>
              <w:t>产品需采用</w:t>
            </w:r>
            <w:r w:rsidRPr="00F87FE8">
              <w:rPr>
                <w:rFonts w:hint="eastAsia"/>
                <w:bCs/>
                <w:color w:val="000000" w:themeColor="text1"/>
              </w:rPr>
              <w:t>SaaS</w:t>
            </w:r>
            <w:r w:rsidRPr="00F87FE8">
              <w:rPr>
                <w:rFonts w:hint="eastAsia"/>
                <w:bCs/>
                <w:color w:val="000000" w:themeColor="text1"/>
              </w:rPr>
              <w:t>云平台部署，开通账号即可使用。下设教师端和学生端。</w:t>
            </w:r>
          </w:p>
          <w:p w14:paraId="33AF9D7A" w14:textId="77777777" w:rsidR="0092195F" w:rsidRPr="00F87FE8" w:rsidRDefault="00A55677" w:rsidP="004C2DFF">
            <w:pPr>
              <w:numPr>
                <w:ilvl w:val="0"/>
                <w:numId w:val="2"/>
              </w:numPr>
              <w:spacing w:line="288" w:lineRule="auto"/>
              <w:jc w:val="left"/>
              <w:rPr>
                <w:bCs/>
                <w:color w:val="000000" w:themeColor="text1"/>
              </w:rPr>
            </w:pPr>
            <w:r w:rsidRPr="00F87FE8">
              <w:rPr>
                <w:rFonts w:hint="eastAsia"/>
                <w:bCs/>
                <w:color w:val="000000" w:themeColor="text1"/>
              </w:rPr>
              <w:t>虚拟实操管理</w:t>
            </w:r>
          </w:p>
          <w:p w14:paraId="73391C52" w14:textId="11436CA1" w:rsidR="0092195F" w:rsidRPr="00F87FE8" w:rsidRDefault="004C2DFF" w:rsidP="004C2DFF">
            <w:pPr>
              <w:spacing w:line="288" w:lineRule="auto"/>
              <w:ind w:firstLineChars="200" w:firstLine="420"/>
              <w:jc w:val="left"/>
              <w:rPr>
                <w:bCs/>
                <w:color w:val="000000" w:themeColor="text1"/>
              </w:rPr>
            </w:pPr>
            <w:r>
              <w:rPr>
                <w:rFonts w:hint="eastAsia"/>
                <w:bCs/>
                <w:color w:val="000000" w:themeColor="text1"/>
              </w:rPr>
              <w:t>（</w:t>
            </w:r>
            <w:r>
              <w:rPr>
                <w:rFonts w:hint="eastAsia"/>
                <w:bCs/>
                <w:color w:val="000000" w:themeColor="text1"/>
              </w:rPr>
              <w:t>1</w:t>
            </w:r>
            <w:r>
              <w:rPr>
                <w:rFonts w:hint="eastAsia"/>
                <w:bCs/>
                <w:color w:val="000000" w:themeColor="text1"/>
              </w:rPr>
              <w:t>）</w:t>
            </w:r>
            <w:r w:rsidR="00A55677" w:rsidRPr="00F87FE8">
              <w:rPr>
                <w:rFonts w:hint="eastAsia"/>
                <w:bCs/>
                <w:color w:val="000000" w:themeColor="text1"/>
              </w:rPr>
              <w:t>首页，罗列当前教师</w:t>
            </w:r>
            <w:r w:rsidR="00A55677" w:rsidRPr="00F87FE8">
              <w:rPr>
                <w:rFonts w:hint="eastAsia"/>
                <w:bCs/>
                <w:color w:val="000000" w:themeColor="text1"/>
              </w:rPr>
              <w:t>/</w:t>
            </w:r>
            <w:r w:rsidR="00A55677" w:rsidRPr="00F87FE8">
              <w:rPr>
                <w:rFonts w:hint="eastAsia"/>
                <w:bCs/>
                <w:color w:val="000000" w:themeColor="text1"/>
              </w:rPr>
              <w:t>学生用户的所有虚拟实操项目，教师包括“实训项目”、“实训班级”、“发布时间”、“实操时间”、“查看”、“统计分析”、“按班级搜索”、“按发布时间排序”、“按实操状态排序”功能；学生包括“实训项目”、“实训班级”、“发布教师”、“发布时间”、“实操时间”、“进入”、“查看成绩”、“按发布时间排序”、“按实操状态排序”。</w:t>
            </w:r>
          </w:p>
          <w:p w14:paraId="71006F2C" w14:textId="21E66B22" w:rsidR="0092195F" w:rsidRPr="00F87FE8" w:rsidRDefault="004C2DFF" w:rsidP="004C2DFF">
            <w:pPr>
              <w:spacing w:line="288" w:lineRule="auto"/>
              <w:ind w:firstLineChars="200" w:firstLine="420"/>
              <w:jc w:val="left"/>
              <w:rPr>
                <w:bCs/>
                <w:color w:val="000000" w:themeColor="text1"/>
              </w:rPr>
            </w:pPr>
            <w:r>
              <w:rPr>
                <w:rFonts w:hint="eastAsia"/>
                <w:bCs/>
                <w:color w:val="000000" w:themeColor="text1"/>
              </w:rPr>
              <w:t>（</w:t>
            </w:r>
            <w:r>
              <w:rPr>
                <w:rFonts w:hint="eastAsia"/>
                <w:bCs/>
                <w:color w:val="000000" w:themeColor="text1"/>
              </w:rPr>
              <w:t>2</w:t>
            </w:r>
            <w:r>
              <w:rPr>
                <w:rFonts w:hint="eastAsia"/>
                <w:bCs/>
                <w:color w:val="000000" w:themeColor="text1"/>
              </w:rPr>
              <w:t>）</w:t>
            </w:r>
            <w:r w:rsidR="00A55677" w:rsidRPr="00F87FE8">
              <w:rPr>
                <w:rFonts w:hint="eastAsia"/>
                <w:bCs/>
                <w:color w:val="000000" w:themeColor="text1"/>
              </w:rPr>
              <w:t>创建，包含“实操名称”、“实操项目”、“布点”、“开始</w:t>
            </w:r>
            <w:r w:rsidR="00A55677" w:rsidRPr="00F87FE8">
              <w:rPr>
                <w:rFonts w:hint="eastAsia"/>
                <w:bCs/>
                <w:color w:val="000000" w:themeColor="text1"/>
              </w:rPr>
              <w:t>/</w:t>
            </w:r>
            <w:r w:rsidR="00A55677" w:rsidRPr="00F87FE8">
              <w:rPr>
                <w:rFonts w:hint="eastAsia"/>
                <w:bCs/>
                <w:color w:val="000000" w:themeColor="text1"/>
              </w:rPr>
              <w:t>结束时间”、“实操班级”、“实操及格分</w:t>
            </w:r>
            <w:r w:rsidR="00A55677" w:rsidRPr="00F87FE8">
              <w:rPr>
                <w:rFonts w:hint="eastAsia"/>
                <w:bCs/>
                <w:color w:val="000000" w:themeColor="text1"/>
              </w:rPr>
              <w:t>/</w:t>
            </w:r>
            <w:r w:rsidR="00A55677" w:rsidRPr="00F87FE8">
              <w:rPr>
                <w:rFonts w:hint="eastAsia"/>
                <w:bCs/>
                <w:color w:val="000000" w:themeColor="text1"/>
              </w:rPr>
              <w:t>总分”、“备注信息”等。</w:t>
            </w:r>
            <w:r w:rsidR="00A55677" w:rsidRPr="00F87FE8">
              <w:rPr>
                <w:rFonts w:hint="eastAsia"/>
                <w:b/>
                <w:color w:val="000000" w:themeColor="text1"/>
              </w:rPr>
              <w:t>其中，实操项目包含：等外水准、三四等水准、二等水准、</w:t>
            </w:r>
            <w:proofErr w:type="spellStart"/>
            <w:r w:rsidR="00A55677" w:rsidRPr="00F87FE8">
              <w:rPr>
                <w:rFonts w:hint="eastAsia"/>
                <w:b/>
                <w:color w:val="000000" w:themeColor="text1"/>
              </w:rPr>
              <w:t>i</w:t>
            </w:r>
            <w:proofErr w:type="spellEnd"/>
            <w:r w:rsidR="00A55677" w:rsidRPr="00F87FE8">
              <w:rPr>
                <w:rFonts w:hint="eastAsia"/>
                <w:b/>
                <w:color w:val="000000" w:themeColor="text1"/>
              </w:rPr>
              <w:t>角检测、测回法、方向观测、竖直角、三角高程、视距测量、导线测量；布点文件需要能在虚拟环境内，通过“内置点”和“手动选”布点，“手动选”要求必须在场景中任意布点。</w:t>
            </w:r>
          </w:p>
          <w:p w14:paraId="38B5CEB7" w14:textId="41CF80CB" w:rsidR="0092195F" w:rsidRPr="00F87FE8" w:rsidRDefault="004C2DFF" w:rsidP="004C2DFF">
            <w:pPr>
              <w:spacing w:line="288" w:lineRule="auto"/>
              <w:ind w:firstLineChars="200" w:firstLine="420"/>
              <w:jc w:val="left"/>
              <w:rPr>
                <w:bCs/>
                <w:color w:val="000000" w:themeColor="text1"/>
              </w:rPr>
            </w:pPr>
            <w:r>
              <w:rPr>
                <w:rFonts w:hint="eastAsia"/>
                <w:bCs/>
                <w:color w:val="000000" w:themeColor="text1"/>
              </w:rPr>
              <w:t>（</w:t>
            </w:r>
            <w:r>
              <w:rPr>
                <w:rFonts w:hint="eastAsia"/>
                <w:bCs/>
                <w:color w:val="000000" w:themeColor="text1"/>
              </w:rPr>
              <w:t>3</w:t>
            </w:r>
            <w:r>
              <w:rPr>
                <w:rFonts w:hint="eastAsia"/>
                <w:bCs/>
                <w:color w:val="000000" w:themeColor="text1"/>
              </w:rPr>
              <w:t>）进入，</w:t>
            </w:r>
            <w:r w:rsidR="00A55677" w:rsidRPr="00F87FE8">
              <w:rPr>
                <w:rFonts w:hint="eastAsia"/>
                <w:bCs/>
                <w:color w:val="000000" w:themeColor="text1"/>
              </w:rPr>
              <w:t>教师创建虚拟实操后，使用学生账号登录，点击“进入”进行实操。进入后出现虚拟场景和表格。</w:t>
            </w:r>
            <w:r w:rsidR="00A55677" w:rsidRPr="00F87FE8">
              <w:rPr>
                <w:rFonts w:hint="eastAsia"/>
                <w:b/>
                <w:color w:val="000000" w:themeColor="text1"/>
              </w:rPr>
              <w:t>虚拟场景中的点位，必须与上一步教师创建的一致。表格中需要有“重测站”、“增加站”、“表格选择菜单”、“重测当前段”、“新建测段表”、“新建成果计算表”功能，以上功能除“新建成果计算表”以外，需要</w:t>
            </w:r>
            <w:r w:rsidR="00BA03CA" w:rsidRPr="00F87FE8">
              <w:rPr>
                <w:rFonts w:hint="eastAsia"/>
                <w:b/>
                <w:color w:val="000000" w:themeColor="text1"/>
              </w:rPr>
              <w:t>中标</w:t>
            </w:r>
            <w:r w:rsidR="00BA03CA" w:rsidRPr="00F87FE8">
              <w:rPr>
                <w:b/>
                <w:color w:val="000000" w:themeColor="text1"/>
              </w:rPr>
              <w:t>后签订合同前</w:t>
            </w:r>
            <w:r w:rsidR="00A55677" w:rsidRPr="00F87FE8">
              <w:rPr>
                <w:rFonts w:hint="eastAsia"/>
                <w:b/>
                <w:color w:val="000000" w:themeColor="text1"/>
              </w:rPr>
              <w:t>现场演示可用。能够随时提交结果，提交后点击查看成绩，能够保存所有填写的数据，包括作废表格，提交结果能够显示分数和各种错误，如：测段表计算错误、观测数据超出范围、各种超限类型、成果计算表计算错误、结果与标准高程比较。</w:t>
            </w:r>
          </w:p>
          <w:p w14:paraId="31C81354" w14:textId="2C55367B" w:rsidR="0092195F" w:rsidRPr="00F87FE8" w:rsidRDefault="004C2DFF" w:rsidP="004C2DFF">
            <w:pPr>
              <w:spacing w:line="288" w:lineRule="auto"/>
              <w:ind w:firstLineChars="200" w:firstLine="420"/>
              <w:jc w:val="left"/>
              <w:rPr>
                <w:bCs/>
                <w:color w:val="000000" w:themeColor="text1"/>
              </w:rPr>
            </w:pPr>
            <w:r>
              <w:rPr>
                <w:rFonts w:hint="eastAsia"/>
                <w:bCs/>
                <w:color w:val="000000" w:themeColor="text1"/>
              </w:rPr>
              <w:t>（</w:t>
            </w:r>
            <w:r>
              <w:rPr>
                <w:rFonts w:hint="eastAsia"/>
                <w:bCs/>
                <w:color w:val="000000" w:themeColor="text1"/>
              </w:rPr>
              <w:t>4</w:t>
            </w:r>
            <w:r>
              <w:rPr>
                <w:rFonts w:hint="eastAsia"/>
                <w:bCs/>
                <w:color w:val="000000" w:themeColor="text1"/>
              </w:rPr>
              <w:t>）</w:t>
            </w:r>
            <w:r w:rsidR="00A55677" w:rsidRPr="00F87FE8">
              <w:rPr>
                <w:rFonts w:hint="eastAsia"/>
                <w:bCs/>
                <w:color w:val="000000" w:themeColor="text1"/>
              </w:rPr>
              <w:t>统计分析，当教师创建的实操超过结束时间时，可以查看统计分析。统计分析可以按照班级筛选、可以按个人统计</w:t>
            </w:r>
            <w:r w:rsidR="00A55677" w:rsidRPr="00F87FE8">
              <w:rPr>
                <w:rFonts w:hint="eastAsia"/>
                <w:bCs/>
                <w:color w:val="000000" w:themeColor="text1"/>
              </w:rPr>
              <w:t>/</w:t>
            </w:r>
            <w:r w:rsidR="00A55677" w:rsidRPr="00F87FE8">
              <w:rPr>
                <w:rFonts w:hint="eastAsia"/>
                <w:bCs/>
                <w:color w:val="000000" w:themeColor="text1"/>
              </w:rPr>
              <w:t>整体分析（整体分析需要以图表的方式显示）、支持导出</w:t>
            </w:r>
            <w:r w:rsidR="00A55677" w:rsidRPr="00F87FE8">
              <w:rPr>
                <w:rFonts w:hint="eastAsia"/>
                <w:bCs/>
                <w:color w:val="000000" w:themeColor="text1"/>
              </w:rPr>
              <w:t>excel</w:t>
            </w:r>
            <w:r w:rsidR="00A55677" w:rsidRPr="00F87FE8">
              <w:rPr>
                <w:rFonts w:hint="eastAsia"/>
                <w:bCs/>
                <w:color w:val="000000" w:themeColor="text1"/>
              </w:rPr>
              <w:t>，</w:t>
            </w:r>
            <w:r w:rsidR="00A55677" w:rsidRPr="00F87FE8">
              <w:rPr>
                <w:rFonts w:hint="eastAsia"/>
                <w:b/>
                <w:color w:val="000000" w:themeColor="text1"/>
              </w:rPr>
              <w:t>每个学生的数据，能够显示和上一步（点击提交后的查看成绩）一致的成果数据。</w:t>
            </w:r>
          </w:p>
          <w:p w14:paraId="3307B061" w14:textId="77777777" w:rsidR="0092195F" w:rsidRPr="00F87FE8" w:rsidRDefault="00A55677" w:rsidP="004C2DFF">
            <w:pPr>
              <w:widowControl/>
              <w:spacing w:line="288" w:lineRule="auto"/>
              <w:jc w:val="left"/>
              <w:rPr>
                <w:rFonts w:ascii="宋体" w:hAnsi="宋体"/>
                <w:b/>
                <w:bCs/>
                <w:color w:val="000000" w:themeColor="text1"/>
                <w:kern w:val="0"/>
              </w:rPr>
            </w:pPr>
            <w:r w:rsidRPr="00F87FE8">
              <w:rPr>
                <w:rFonts w:ascii="宋体" w:hAnsi="宋体" w:hint="eastAsia"/>
                <w:b/>
                <w:bCs/>
                <w:color w:val="000000" w:themeColor="text1"/>
                <w:kern w:val="0"/>
              </w:rPr>
              <w:t>技术要求:</w:t>
            </w:r>
          </w:p>
          <w:p w14:paraId="490640DF" w14:textId="77777777" w:rsidR="0092195F" w:rsidRPr="00F87FE8" w:rsidRDefault="00A55677" w:rsidP="004C2DFF">
            <w:pPr>
              <w:pStyle w:val="1"/>
              <w:widowControl/>
              <w:numPr>
                <w:ilvl w:val="0"/>
                <w:numId w:val="4"/>
              </w:numPr>
              <w:spacing w:line="288" w:lineRule="auto"/>
              <w:ind w:leftChars="200" w:left="840" w:firstLineChars="0"/>
              <w:jc w:val="left"/>
              <w:rPr>
                <w:rFonts w:ascii="宋体" w:hAnsi="宋体"/>
                <w:color w:val="000000" w:themeColor="text1"/>
                <w:kern w:val="0"/>
                <w:u w:val="single"/>
              </w:rPr>
            </w:pPr>
            <w:r w:rsidRPr="00F87FE8">
              <w:rPr>
                <w:rFonts w:ascii="宋体" w:hAnsi="宋体" w:hint="eastAsia"/>
                <w:b/>
                <w:bCs/>
                <w:color w:val="000000" w:themeColor="text1"/>
                <w:kern w:val="0"/>
              </w:rPr>
              <w:t>操作视频：</w:t>
            </w:r>
            <w:r w:rsidRPr="00F87FE8">
              <w:rPr>
                <w:rFonts w:ascii="宋体" w:hAnsi="宋体" w:hint="eastAsia"/>
                <w:color w:val="000000" w:themeColor="text1"/>
                <w:kern w:val="0"/>
              </w:rPr>
              <w:t>供应商须提供至少一个操作视频。</w:t>
            </w:r>
          </w:p>
          <w:p w14:paraId="0FF3775E" w14:textId="4EEF19F1" w:rsidR="0092195F" w:rsidRPr="00F87FE8" w:rsidRDefault="00A55677" w:rsidP="004C2DFF">
            <w:pPr>
              <w:pStyle w:val="1"/>
              <w:widowControl/>
              <w:numPr>
                <w:ilvl w:val="0"/>
                <w:numId w:val="4"/>
              </w:numPr>
              <w:spacing w:line="288" w:lineRule="auto"/>
              <w:ind w:leftChars="200" w:left="840" w:firstLineChars="0"/>
              <w:jc w:val="left"/>
              <w:rPr>
                <w:rFonts w:ascii="宋体" w:hAnsi="宋体"/>
                <w:color w:val="000000" w:themeColor="text1"/>
                <w:kern w:val="0"/>
              </w:rPr>
            </w:pPr>
            <w:r w:rsidRPr="00F87FE8">
              <w:rPr>
                <w:rFonts w:ascii="宋体" w:hAnsi="宋体" w:hint="eastAsia"/>
                <w:b/>
                <w:bCs/>
                <w:color w:val="000000" w:themeColor="text1"/>
                <w:kern w:val="0"/>
              </w:rPr>
              <w:t>交付物：</w:t>
            </w:r>
            <w:r w:rsidRPr="004C2DFF">
              <w:rPr>
                <w:rFonts w:ascii="宋体" w:hAnsi="宋体" w:hint="eastAsia"/>
                <w:kern w:val="0"/>
              </w:rPr>
              <w:t>开通教师账号1个</w:t>
            </w:r>
            <w:r w:rsidR="003D354C" w:rsidRPr="004C2DFF">
              <w:rPr>
                <w:rFonts w:ascii="宋体" w:hAnsi="宋体" w:hint="eastAsia"/>
                <w:kern w:val="0"/>
              </w:rPr>
              <w:t>和3</w:t>
            </w:r>
            <w:r w:rsidR="003D354C" w:rsidRPr="004C2DFF">
              <w:rPr>
                <w:rFonts w:ascii="宋体" w:hAnsi="宋体"/>
                <w:kern w:val="0"/>
              </w:rPr>
              <w:t>0</w:t>
            </w:r>
            <w:r w:rsidR="003D354C" w:rsidRPr="004C2DFF">
              <w:rPr>
                <w:rFonts w:ascii="宋体" w:hAnsi="宋体" w:hint="eastAsia"/>
                <w:kern w:val="0"/>
              </w:rPr>
              <w:t>个学生账号</w:t>
            </w:r>
            <w:r w:rsidRPr="004C2DFF">
              <w:rPr>
                <w:rFonts w:ascii="宋体" w:hAnsi="宋体" w:hint="eastAsia"/>
                <w:kern w:val="0"/>
              </w:rPr>
              <w:t>，</w:t>
            </w:r>
            <w:r w:rsidR="00BB328A" w:rsidRPr="004C2DFF">
              <w:rPr>
                <w:rFonts w:ascii="宋体" w:hAnsi="宋体" w:hint="eastAsia"/>
                <w:kern w:val="0"/>
              </w:rPr>
              <w:t>同时</w:t>
            </w:r>
            <w:r w:rsidR="00BB328A" w:rsidRPr="004C2DFF">
              <w:rPr>
                <w:rFonts w:ascii="宋体" w:hAnsi="宋体"/>
                <w:kern w:val="0"/>
              </w:rPr>
              <w:t>保证</w:t>
            </w:r>
            <w:r w:rsidRPr="004C2DFF">
              <w:rPr>
                <w:rFonts w:ascii="宋体" w:hAnsi="宋体" w:hint="eastAsia"/>
                <w:kern w:val="0"/>
              </w:rPr>
              <w:t>30个</w:t>
            </w:r>
            <w:r w:rsidR="00BB328A" w:rsidRPr="004C2DFF">
              <w:rPr>
                <w:rFonts w:ascii="宋体" w:hAnsi="宋体" w:hint="eastAsia"/>
                <w:kern w:val="0"/>
              </w:rPr>
              <w:t>学生人数可</w:t>
            </w:r>
            <w:r w:rsidR="00BB328A" w:rsidRPr="004C2DFF">
              <w:rPr>
                <w:rFonts w:ascii="宋体" w:hAnsi="宋体"/>
                <w:kern w:val="0"/>
              </w:rPr>
              <w:t>同时</w:t>
            </w:r>
            <w:r w:rsidR="003D354C" w:rsidRPr="004C2DFF">
              <w:rPr>
                <w:rFonts w:ascii="宋体" w:hAnsi="宋体" w:hint="eastAsia"/>
                <w:kern w:val="0"/>
              </w:rPr>
              <w:t>在线</w:t>
            </w:r>
            <w:r w:rsidR="00BB328A" w:rsidRPr="004C2DFF">
              <w:rPr>
                <w:rFonts w:ascii="宋体" w:hAnsi="宋体"/>
                <w:kern w:val="0"/>
              </w:rPr>
              <w:t>使用</w:t>
            </w:r>
            <w:r w:rsidR="002F24B3" w:rsidRPr="004C2DFF">
              <w:rPr>
                <w:rFonts w:ascii="宋体" w:hAnsi="宋体" w:hint="eastAsia"/>
                <w:kern w:val="0"/>
              </w:rPr>
              <w:t>,使用</w:t>
            </w:r>
            <w:r w:rsidR="002F24B3" w:rsidRPr="004C2DFF">
              <w:rPr>
                <w:rFonts w:ascii="宋体" w:hAnsi="宋体"/>
                <w:kern w:val="0"/>
              </w:rPr>
              <w:t>期限为</w:t>
            </w:r>
            <w:r w:rsidR="002F24B3" w:rsidRPr="004C2DFF">
              <w:rPr>
                <w:rFonts w:ascii="宋体" w:hAnsi="宋体" w:hint="eastAsia"/>
                <w:kern w:val="0"/>
              </w:rPr>
              <w:t>1年</w:t>
            </w:r>
            <w:r w:rsidR="002F24B3" w:rsidRPr="004C2DFF">
              <w:rPr>
                <w:rFonts w:ascii="宋体" w:hAnsi="宋体"/>
                <w:kern w:val="0"/>
              </w:rPr>
              <w:t>。</w:t>
            </w:r>
          </w:p>
        </w:tc>
      </w:tr>
    </w:tbl>
    <w:p w14:paraId="7C4059B7" w14:textId="5C17D703" w:rsidR="0092195F" w:rsidRDefault="0092195F" w:rsidP="004C2DFF"/>
    <w:p w14:paraId="19A06F20" w14:textId="77777777" w:rsidR="004C2DFF" w:rsidRDefault="004C2DFF" w:rsidP="004C2DFF"/>
    <w:p w14:paraId="4BBEBF5C" w14:textId="77777777" w:rsidR="0092195F" w:rsidRDefault="00A55677">
      <w:pPr>
        <w:pStyle w:val="2"/>
        <w:ind w:left="0" w:firstLine="0"/>
        <w:rPr>
          <w:sz w:val="24"/>
          <w:szCs w:val="24"/>
        </w:rPr>
      </w:pPr>
      <w:r>
        <w:rPr>
          <w:rFonts w:ascii="宋体" w:hAnsi="宋体" w:hint="eastAsia"/>
          <w:sz w:val="24"/>
          <w:szCs w:val="24"/>
        </w:rPr>
        <w:lastRenderedPageBreak/>
        <w:t>2</w:t>
      </w:r>
      <w:r>
        <w:rPr>
          <w:rFonts w:ascii="宋体" w:hAnsi="宋体"/>
          <w:sz w:val="24"/>
          <w:szCs w:val="24"/>
        </w:rPr>
        <w:t>.</w:t>
      </w:r>
      <w:r>
        <w:rPr>
          <w:rFonts w:ascii="宋体" w:hAnsi="宋体" w:hint="eastAsia"/>
          <w:sz w:val="24"/>
          <w:szCs w:val="24"/>
        </w:rPr>
        <w:t>其它要求</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7655"/>
      </w:tblGrid>
      <w:tr w:rsidR="0092195F" w14:paraId="70682048" w14:textId="77777777">
        <w:trPr>
          <w:trHeight w:val="340"/>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6FC00C41" w14:textId="77777777" w:rsidR="0092195F" w:rsidRDefault="00A55677">
            <w:pPr>
              <w:widowControl/>
              <w:spacing w:line="273" w:lineRule="auto"/>
              <w:jc w:val="center"/>
              <w:rPr>
                <w:rFonts w:ascii="宋体" w:hAnsi="宋体"/>
                <w:kern w:val="0"/>
              </w:rPr>
            </w:pPr>
            <w:bookmarkStart w:id="0" w:name="_GoBack" w:colFirst="1" w:colLast="1"/>
            <w:r>
              <w:rPr>
                <w:rFonts w:ascii="宋体" w:hAnsi="宋体" w:hint="eastAsia"/>
                <w:b/>
                <w:bCs/>
                <w:kern w:val="0"/>
              </w:rPr>
              <w:t>其它</w:t>
            </w:r>
          </w:p>
        </w:tc>
        <w:tc>
          <w:tcPr>
            <w:tcW w:w="7655" w:type="dxa"/>
            <w:tcBorders>
              <w:top w:val="single" w:sz="4" w:space="0" w:color="000000"/>
              <w:left w:val="nil"/>
              <w:bottom w:val="single" w:sz="4" w:space="0" w:color="000000"/>
              <w:right w:val="single" w:sz="4" w:space="0" w:color="000000"/>
            </w:tcBorders>
            <w:vAlign w:val="center"/>
          </w:tcPr>
          <w:p w14:paraId="35A2FFAB" w14:textId="77777777" w:rsidR="0092195F" w:rsidRDefault="00A55677" w:rsidP="005760D8">
            <w:pPr>
              <w:numPr>
                <w:ilvl w:val="0"/>
                <w:numId w:val="5"/>
              </w:numPr>
              <w:spacing w:line="288" w:lineRule="auto"/>
              <w:rPr>
                <w:rFonts w:ascii="宋体" w:hAnsi="宋体"/>
                <w:b/>
                <w:bCs/>
              </w:rPr>
            </w:pPr>
            <w:bookmarkStart w:id="1" w:name="_Toc268526178"/>
            <w:r>
              <w:rPr>
                <w:rFonts w:ascii="宋体" w:hAnsi="宋体" w:hint="eastAsia"/>
                <w:b/>
                <w:bCs/>
              </w:rPr>
              <w:t>付款方式</w:t>
            </w:r>
            <w:bookmarkEnd w:id="1"/>
          </w:p>
          <w:p w14:paraId="493705E2" w14:textId="77777777" w:rsidR="0092195F" w:rsidRDefault="00A55677" w:rsidP="005760D8">
            <w:pPr>
              <w:pStyle w:val="1"/>
              <w:spacing w:line="288" w:lineRule="auto"/>
              <w:ind w:firstLineChars="0"/>
              <w:rPr>
                <w:rFonts w:ascii="宋体" w:hAnsi="宋体"/>
                <w:color w:val="FF0000"/>
              </w:rPr>
            </w:pPr>
            <w:r>
              <w:rPr>
                <w:rFonts w:ascii="宋体" w:hAnsi="宋体" w:hint="eastAsia"/>
              </w:rPr>
              <w:t xml:space="preserve">项目启动前，支付项目质保金5%；验收通过，一次性结清项目款。 </w:t>
            </w:r>
          </w:p>
          <w:p w14:paraId="5EE982DF" w14:textId="77777777" w:rsidR="0092195F" w:rsidRDefault="00A55677" w:rsidP="005760D8">
            <w:pPr>
              <w:numPr>
                <w:ilvl w:val="0"/>
                <w:numId w:val="5"/>
              </w:numPr>
              <w:spacing w:line="288" w:lineRule="auto"/>
              <w:rPr>
                <w:rFonts w:ascii="宋体" w:hAnsi="宋体"/>
                <w:b/>
                <w:bCs/>
              </w:rPr>
            </w:pPr>
            <w:bookmarkStart w:id="2" w:name="_Toc295165668"/>
            <w:r>
              <w:rPr>
                <w:rFonts w:ascii="宋体" w:hAnsi="宋体" w:hint="eastAsia"/>
                <w:b/>
                <w:bCs/>
              </w:rPr>
              <w:t>服务时间</w:t>
            </w:r>
            <w:bookmarkEnd w:id="2"/>
          </w:p>
          <w:p w14:paraId="3F4E81B3" w14:textId="77777777" w:rsidR="0092195F" w:rsidRPr="00B911E0" w:rsidRDefault="00A55677" w:rsidP="005760D8">
            <w:pPr>
              <w:spacing w:line="288" w:lineRule="auto"/>
              <w:ind w:firstLine="560"/>
              <w:rPr>
                <w:rFonts w:ascii="宋体" w:hAnsi="宋体"/>
                <w:color w:val="FF0000"/>
              </w:rPr>
            </w:pPr>
            <w:r>
              <w:rPr>
                <w:rFonts w:ascii="宋体" w:hAnsi="宋体" w:hint="eastAsia"/>
              </w:rPr>
              <w:t>合同签订</w:t>
            </w:r>
            <w:r w:rsidRPr="00F87FE8">
              <w:rPr>
                <w:rFonts w:ascii="宋体" w:hAnsi="宋体" w:hint="eastAsia"/>
                <w:color w:val="000000" w:themeColor="text1"/>
              </w:rPr>
              <w:t>生效后，</w:t>
            </w:r>
            <w:r w:rsidR="00F87FE8" w:rsidRPr="00F87FE8">
              <w:rPr>
                <w:rFonts w:ascii="宋体" w:hAnsi="宋体"/>
                <w:color w:val="000000" w:themeColor="text1"/>
              </w:rPr>
              <w:t xml:space="preserve"> </w:t>
            </w:r>
            <w:r w:rsidR="00F87FE8">
              <w:rPr>
                <w:rFonts w:ascii="宋体" w:hAnsi="宋体"/>
                <w:color w:val="000000" w:themeColor="text1"/>
              </w:rPr>
              <w:t>5</w:t>
            </w:r>
            <w:r w:rsidR="00B911E0" w:rsidRPr="00F87FE8">
              <w:rPr>
                <w:rFonts w:ascii="宋体" w:hAnsi="宋体" w:hint="eastAsia"/>
                <w:color w:val="000000" w:themeColor="text1"/>
              </w:rPr>
              <w:t>天</w:t>
            </w:r>
            <w:r w:rsidRPr="00F87FE8">
              <w:rPr>
                <w:rFonts w:ascii="宋体" w:hAnsi="宋体" w:hint="eastAsia"/>
                <w:color w:val="000000" w:themeColor="text1"/>
              </w:rPr>
              <w:t>内完成所有服务项目。</w:t>
            </w:r>
          </w:p>
          <w:p w14:paraId="41D27DF4" w14:textId="77777777" w:rsidR="0092195F" w:rsidRDefault="00A55677" w:rsidP="005760D8">
            <w:pPr>
              <w:numPr>
                <w:ilvl w:val="0"/>
                <w:numId w:val="5"/>
              </w:numPr>
              <w:spacing w:line="288" w:lineRule="auto"/>
              <w:rPr>
                <w:rFonts w:ascii="宋体" w:hAnsi="宋体"/>
                <w:b/>
                <w:bCs/>
              </w:rPr>
            </w:pPr>
            <w:r>
              <w:rPr>
                <w:rFonts w:ascii="宋体" w:hAnsi="宋体" w:hint="eastAsia"/>
                <w:b/>
                <w:bCs/>
              </w:rPr>
              <w:t>交货及验收</w:t>
            </w:r>
          </w:p>
          <w:p w14:paraId="4336CFE2" w14:textId="77777777" w:rsidR="0092195F" w:rsidRDefault="00A55677" w:rsidP="005760D8">
            <w:pPr>
              <w:spacing w:line="288" w:lineRule="auto"/>
              <w:ind w:firstLine="560"/>
              <w:rPr>
                <w:rFonts w:ascii="宋体" w:hAnsi="宋体"/>
              </w:rPr>
            </w:pPr>
            <w:r>
              <w:rPr>
                <w:rFonts w:ascii="宋体" w:hAnsi="宋体" w:hint="eastAsia"/>
              </w:rPr>
              <w:t>交货地点：校方指定地点。</w:t>
            </w:r>
          </w:p>
          <w:p w14:paraId="28D1ED91" w14:textId="77777777" w:rsidR="0092195F" w:rsidRDefault="00A55677" w:rsidP="005760D8">
            <w:pPr>
              <w:spacing w:line="288" w:lineRule="auto"/>
              <w:ind w:firstLine="560"/>
              <w:rPr>
                <w:rFonts w:ascii="宋体" w:hAnsi="宋体"/>
              </w:rPr>
            </w:pPr>
            <w:r>
              <w:rPr>
                <w:rFonts w:ascii="宋体" w:hAnsi="宋体" w:hint="eastAsia"/>
              </w:rPr>
              <w:t>验收：以双方</w:t>
            </w:r>
            <w:proofErr w:type="gramStart"/>
            <w:r>
              <w:rPr>
                <w:rFonts w:ascii="宋体" w:hAnsi="宋体" w:hint="eastAsia"/>
              </w:rPr>
              <w:t>签定</w:t>
            </w:r>
            <w:proofErr w:type="gramEnd"/>
            <w:r>
              <w:rPr>
                <w:rFonts w:ascii="宋体" w:hAnsi="宋体" w:hint="eastAsia"/>
              </w:rPr>
              <w:t>的合同约定最终的验收形式。</w:t>
            </w:r>
          </w:p>
          <w:p w14:paraId="18938CB3" w14:textId="77777777" w:rsidR="0092195F" w:rsidRDefault="00A55677" w:rsidP="005760D8">
            <w:pPr>
              <w:numPr>
                <w:ilvl w:val="0"/>
                <w:numId w:val="5"/>
              </w:numPr>
              <w:spacing w:line="288" w:lineRule="auto"/>
              <w:rPr>
                <w:rFonts w:ascii="宋体" w:hAnsi="宋体"/>
                <w:b/>
                <w:bCs/>
              </w:rPr>
            </w:pPr>
            <w:r>
              <w:rPr>
                <w:rFonts w:ascii="宋体" w:hAnsi="宋体" w:hint="eastAsia"/>
                <w:b/>
                <w:bCs/>
              </w:rPr>
              <w:t>知识产权</w:t>
            </w:r>
          </w:p>
          <w:p w14:paraId="6F896B44" w14:textId="77777777" w:rsidR="0092195F" w:rsidRDefault="00A55677" w:rsidP="005760D8">
            <w:pPr>
              <w:spacing w:line="288" w:lineRule="auto"/>
              <w:ind w:leftChars="1" w:left="2" w:firstLineChars="200" w:firstLine="420"/>
              <w:rPr>
                <w:rFonts w:ascii="宋体" w:hAnsi="宋体"/>
              </w:rPr>
            </w:pPr>
            <w:r>
              <w:rPr>
                <w:rFonts w:ascii="宋体" w:hAnsi="宋体" w:hint="eastAsia"/>
              </w:rPr>
              <w:t>供应商的所供本项目不得侵犯第三方的专利权；如果任何第三方提出侵权指控或赔偿要求，供应商必须与第三方交涉，并承担发生和可能发生的一切损失、费用和法律责任。</w:t>
            </w:r>
          </w:p>
          <w:p w14:paraId="05E51168" w14:textId="77777777" w:rsidR="0092195F" w:rsidRDefault="00A55677" w:rsidP="005760D8">
            <w:pPr>
              <w:numPr>
                <w:ilvl w:val="0"/>
                <w:numId w:val="5"/>
              </w:numPr>
              <w:spacing w:line="288" w:lineRule="auto"/>
              <w:rPr>
                <w:rFonts w:ascii="宋体" w:hAnsi="宋体"/>
                <w:b/>
                <w:bCs/>
              </w:rPr>
            </w:pPr>
            <w:r>
              <w:rPr>
                <w:rFonts w:ascii="宋体" w:hAnsi="宋体" w:hint="eastAsia"/>
                <w:b/>
                <w:bCs/>
              </w:rPr>
              <w:t>售后服务</w:t>
            </w:r>
          </w:p>
          <w:p w14:paraId="3FD98671" w14:textId="77777777" w:rsidR="0092195F" w:rsidRDefault="00A55677" w:rsidP="005760D8">
            <w:pPr>
              <w:spacing w:line="288" w:lineRule="auto"/>
              <w:ind w:firstLine="560"/>
              <w:rPr>
                <w:rFonts w:ascii="宋体" w:hAnsi="宋体"/>
              </w:rPr>
            </w:pPr>
            <w:r>
              <w:rPr>
                <w:rFonts w:ascii="宋体" w:hAnsi="宋体" w:hint="eastAsia"/>
              </w:rPr>
              <w:t>1.供应商应当保护研究对象的身份即个人识别信息不被披露给除采购方以外的任何第三方。“研究对象”包括选择参加本项目的任何研究对象，不论其以何种方式或通过何人参加；“个人识别信息”在此项目中为采购方提供给供应商的所有学生信息，或供应商认为将导致确定研究对象身份的文字回答。</w:t>
            </w:r>
          </w:p>
          <w:p w14:paraId="170777B8" w14:textId="77777777" w:rsidR="0092195F" w:rsidRDefault="00A55677" w:rsidP="005760D8">
            <w:pPr>
              <w:spacing w:line="288" w:lineRule="auto"/>
              <w:ind w:firstLine="560"/>
              <w:rPr>
                <w:rFonts w:ascii="宋体" w:hAnsi="宋体"/>
              </w:rPr>
            </w:pPr>
            <w:r>
              <w:rPr>
                <w:rFonts w:ascii="宋体" w:hAnsi="宋体" w:hint="eastAsia"/>
              </w:rPr>
              <w:t>2.为保护研究对象隐私权，避免违反国家和地方法律法规，供应商将不向采购方提供任何有违国家及/或地方法律法规规定的信息或资料。</w:t>
            </w:r>
          </w:p>
          <w:p w14:paraId="14887915" w14:textId="77777777" w:rsidR="0092195F" w:rsidRDefault="00A55677" w:rsidP="005760D8">
            <w:pPr>
              <w:spacing w:line="288" w:lineRule="auto"/>
              <w:ind w:firstLine="560"/>
              <w:rPr>
                <w:rFonts w:ascii="宋体" w:hAnsi="宋体"/>
              </w:rPr>
            </w:pPr>
            <w:r>
              <w:rPr>
                <w:rFonts w:ascii="宋体" w:hAnsi="宋体" w:hint="eastAsia"/>
              </w:rPr>
              <w:t>3.供应商承诺保证数据及其分析结果的独立性、科学性和公正性；</w:t>
            </w:r>
          </w:p>
          <w:p w14:paraId="5299C6B0" w14:textId="77777777" w:rsidR="0092195F" w:rsidRDefault="00A55677" w:rsidP="005760D8">
            <w:pPr>
              <w:spacing w:line="288" w:lineRule="auto"/>
              <w:ind w:firstLine="560"/>
              <w:rPr>
                <w:rFonts w:ascii="宋体" w:hAnsi="宋体"/>
              </w:rPr>
            </w:pPr>
            <w:r>
              <w:rPr>
                <w:rFonts w:ascii="宋体" w:hAnsi="宋体" w:hint="eastAsia"/>
              </w:rPr>
              <w:t>4.数据报告出来后，学校遇到指标不理解的地方，供应商将负责说明。</w:t>
            </w:r>
          </w:p>
        </w:tc>
      </w:tr>
      <w:bookmarkEnd w:id="0"/>
    </w:tbl>
    <w:p w14:paraId="65AB5BE5" w14:textId="77777777" w:rsidR="0092195F" w:rsidRDefault="0092195F"/>
    <w:sectPr w:rsidR="009219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A8B47D"/>
    <w:multiLevelType w:val="singleLevel"/>
    <w:tmpl w:val="AEA8B47D"/>
    <w:lvl w:ilvl="0">
      <w:start w:val="1"/>
      <w:numFmt w:val="decimal"/>
      <w:suff w:val="nothing"/>
      <w:lvlText w:val="（%1）"/>
      <w:lvlJc w:val="left"/>
    </w:lvl>
  </w:abstractNum>
  <w:abstractNum w:abstractNumId="1" w15:restartNumberingAfterBreak="0">
    <w:nsid w:val="2C0E4A46"/>
    <w:multiLevelType w:val="multilevel"/>
    <w:tmpl w:val="2C0E4A46"/>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15:restartNumberingAfterBreak="0">
    <w:nsid w:val="4C627FA3"/>
    <w:multiLevelType w:val="multilevel"/>
    <w:tmpl w:val="4C627FA3"/>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635162C5"/>
    <w:multiLevelType w:val="multilevel"/>
    <w:tmpl w:val="635162C5"/>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992" w:hanging="567"/>
      </w:pPr>
      <w:rPr>
        <w:rFonts w:ascii="Times New Roman" w:hAnsi="Times New Roman" w:cs="Times New Roman" w:hint="default"/>
      </w:rPr>
    </w:lvl>
    <w:lvl w:ilvl="2">
      <w:start w:val="1"/>
      <w:numFmt w:val="decimal"/>
      <w:lvlText w:val="%1.%2.%3"/>
      <w:lvlJc w:val="left"/>
      <w:pPr>
        <w:ind w:left="1418" w:hanging="567"/>
      </w:pPr>
      <w:rPr>
        <w:rFonts w:ascii="Times New Roman" w:hAnsi="Times New Roman" w:cs="Times New Roman" w:hint="default"/>
      </w:rPr>
    </w:lvl>
    <w:lvl w:ilvl="3">
      <w:start w:val="1"/>
      <w:numFmt w:val="decimal"/>
      <w:lvlText w:val="%1.%2.%3.%4"/>
      <w:lvlJc w:val="left"/>
      <w:pPr>
        <w:ind w:left="1984" w:hanging="708"/>
      </w:pPr>
      <w:rPr>
        <w:rFonts w:ascii="Times New Roman" w:hAnsi="Times New Roman" w:cs="Times New Roman" w:hint="default"/>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ascii="Times New Roman" w:hAnsi="Times New Roman" w:cs="Times New Roman" w:hint="default"/>
      </w:rPr>
    </w:lvl>
    <w:lvl w:ilvl="7">
      <w:start w:val="1"/>
      <w:numFmt w:val="decimal"/>
      <w:lvlText w:val="%1.%2.%3.%4.%5.%6.%7.%8"/>
      <w:lvlJc w:val="left"/>
      <w:pPr>
        <w:ind w:left="4394" w:hanging="1418"/>
      </w:pPr>
      <w:rPr>
        <w:rFonts w:ascii="Times New Roman" w:hAnsi="Times New Roman" w:cs="Times New Roman" w:hint="default"/>
      </w:rPr>
    </w:lvl>
    <w:lvl w:ilvl="8">
      <w:start w:val="1"/>
      <w:numFmt w:val="decimal"/>
      <w:lvlText w:val="%1.%2.%3.%4.%5.%6.%7.%8.%9"/>
      <w:lvlJc w:val="left"/>
      <w:pPr>
        <w:ind w:left="5102" w:hanging="1700"/>
      </w:pPr>
      <w:rPr>
        <w:rFonts w:ascii="Times New Roman" w:hAnsi="Times New Roman" w:cs="Times New Roman" w:hint="default"/>
      </w:rPr>
    </w:lvl>
  </w:abstractNum>
  <w:abstractNum w:abstractNumId="4" w15:restartNumberingAfterBreak="0">
    <w:nsid w:val="644B22F7"/>
    <w:multiLevelType w:val="singleLevel"/>
    <w:tmpl w:val="644B22F7"/>
    <w:lvl w:ilvl="0">
      <w:start w:val="1"/>
      <w:numFmt w:val="decimal"/>
      <w:suff w:val="space"/>
      <w:lvlText w:val="%1."/>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14"/>
    <w:rsid w:val="002F24B3"/>
    <w:rsid w:val="003D354C"/>
    <w:rsid w:val="004C2DFF"/>
    <w:rsid w:val="005760D8"/>
    <w:rsid w:val="006658B9"/>
    <w:rsid w:val="0074229E"/>
    <w:rsid w:val="008A1C8A"/>
    <w:rsid w:val="0092195F"/>
    <w:rsid w:val="00A55677"/>
    <w:rsid w:val="00B911E0"/>
    <w:rsid w:val="00BA03CA"/>
    <w:rsid w:val="00BB328A"/>
    <w:rsid w:val="00C108E5"/>
    <w:rsid w:val="00DD37C9"/>
    <w:rsid w:val="00E47414"/>
    <w:rsid w:val="00E95949"/>
    <w:rsid w:val="00F87FE8"/>
    <w:rsid w:val="30300F2A"/>
    <w:rsid w:val="3EF62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E5F4"/>
  <w15:docId w15:val="{174C1467-D703-4B96-8915-18CDE3A2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1"/>
    </w:rPr>
  </w:style>
  <w:style w:type="paragraph" w:styleId="2">
    <w:name w:val="heading 2"/>
    <w:basedOn w:val="a"/>
    <w:next w:val="a"/>
    <w:link w:val="20"/>
    <w:uiPriority w:val="99"/>
    <w:qFormat/>
    <w:pPr>
      <w:keepNext/>
      <w:keepLines/>
      <w:spacing w:before="120" w:after="120" w:line="412" w:lineRule="auto"/>
      <w:ind w:left="420" w:hanging="420"/>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rPr>
      <w:rFonts w:ascii="Calibri Light" w:eastAsia="宋体" w:hAnsi="Calibri Light" w:cs="Times New Roman"/>
      <w:b/>
      <w:bCs/>
      <w:sz w:val="32"/>
      <w:szCs w:val="32"/>
    </w:rPr>
  </w:style>
  <w:style w:type="paragraph" w:customStyle="1" w:styleId="1">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203</Words>
  <Characters>1158</Characters>
  <Application>Microsoft Office Word</Application>
  <DocSecurity>0</DocSecurity>
  <Lines>9</Lines>
  <Paragraphs>2</Paragraphs>
  <ScaleCrop>false</ScaleCrop>
  <Company>云海 技术</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2020-03-23T03:32:00Z</dcterms:created>
  <dcterms:modified xsi:type="dcterms:W3CDTF">2020-04-26T03:51:00Z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