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B16" w:rsidRPr="00FA13FF" w:rsidRDefault="00FA4B16" w:rsidP="00423E53">
      <w:pPr>
        <w:spacing w:line="560" w:lineRule="exact"/>
        <w:rPr>
          <w:rFonts w:ascii="宋体" w:eastAsia="宋体" w:hAnsi="宋体"/>
          <w:sz w:val="24"/>
          <w:szCs w:val="24"/>
        </w:rPr>
      </w:pPr>
      <w:r w:rsidRPr="00FA13FF">
        <w:rPr>
          <w:rFonts w:ascii="宋体" w:eastAsia="宋体" w:hAnsi="宋体" w:hint="eastAsia"/>
          <w:sz w:val="24"/>
          <w:szCs w:val="24"/>
        </w:rPr>
        <w:t>一、项目需求</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sz w:val="24"/>
          <w:szCs w:val="24"/>
        </w:rPr>
        <w:t>1、针对补充耕地验收监管平台的一个三级系统做等级保护测评服务，提出信息系统安全保护整改建议，测评前期准备等工作，符合后出具满足安徽省公安厅要求的正式测评报告。</w:t>
      </w:r>
    </w:p>
    <w:p w:rsidR="00D7587D" w:rsidRPr="00FA13FF" w:rsidRDefault="00FA4B16" w:rsidP="00423E53">
      <w:pPr>
        <w:spacing w:line="560" w:lineRule="exact"/>
        <w:rPr>
          <w:rFonts w:ascii="宋体" w:eastAsia="宋体" w:hAnsi="宋体"/>
          <w:sz w:val="24"/>
          <w:szCs w:val="24"/>
        </w:rPr>
      </w:pPr>
      <w:r w:rsidRPr="00FA13FF">
        <w:rPr>
          <w:rFonts w:ascii="宋体" w:eastAsia="宋体" w:hAnsi="宋体"/>
          <w:sz w:val="24"/>
          <w:szCs w:val="24"/>
        </w:rPr>
        <w:t>2、等级保护测评需邀请具备信息安全等级保护测评资质证书的第三方测评机构（该测评机构应在“国家信息安全等级保护工作协调小组办公室”或“安徽省信息安全等级保护工作协调小组办公室”推荐的名单中）进行评测，提供证书复印件。</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hint="eastAsia"/>
          <w:sz w:val="24"/>
          <w:szCs w:val="24"/>
        </w:rPr>
        <w:t>二、验收标准</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hint="eastAsia"/>
          <w:sz w:val="24"/>
          <w:szCs w:val="24"/>
        </w:rPr>
        <w:t>本项目的验收标准是补充耕地验收监管平台通过信息安全三级等保测评，项目实施过程中保证招标人系统正常运行，出具获相关部门认可的测评报告。并提供以下材料：</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hint="eastAsia"/>
          <w:sz w:val="24"/>
          <w:szCs w:val="24"/>
        </w:rPr>
        <w:t>等级保护测评工作</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sz w:val="24"/>
          <w:szCs w:val="24"/>
        </w:rPr>
        <w:t>1.信息系统的安全技术测评结果记录；</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sz w:val="24"/>
          <w:szCs w:val="24"/>
        </w:rPr>
        <w:t>2.信息系统的安全管理测评结果记录；</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sz w:val="24"/>
          <w:szCs w:val="24"/>
        </w:rPr>
        <w:t>3.信息系统的差距分析报告；</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sz w:val="24"/>
          <w:szCs w:val="24"/>
        </w:rPr>
        <w:t>4.信息系统的信息系统安全保护等级测评报告（以上材料可包含在测评报告中）。</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hint="eastAsia"/>
          <w:sz w:val="24"/>
          <w:szCs w:val="24"/>
        </w:rPr>
        <w:t>三、报价单位须知</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hint="eastAsia"/>
          <w:sz w:val="24"/>
          <w:szCs w:val="24"/>
        </w:rPr>
        <w:t>（一）基本资格条件</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sz w:val="24"/>
          <w:szCs w:val="24"/>
        </w:rPr>
        <w:t>1、具有独立承担民事责任的能力；</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sz w:val="24"/>
          <w:szCs w:val="24"/>
        </w:rPr>
        <w:t>2、具有良好的商业信誉和健全的财务会计制度；</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sz w:val="24"/>
          <w:szCs w:val="24"/>
        </w:rPr>
        <w:t>3、具有履行合同所必需的设备和专业技术能力；</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sz w:val="24"/>
          <w:szCs w:val="24"/>
        </w:rPr>
        <w:t>4、有依法缴纳税收和社会保障资金的良好记录；</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sz w:val="24"/>
          <w:szCs w:val="24"/>
        </w:rPr>
        <w:t>5、参加政府采购活动前三年内，在经营活动中没有重大违法记录；</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sz w:val="24"/>
          <w:szCs w:val="24"/>
        </w:rPr>
        <w:lastRenderedPageBreak/>
        <w:t>6、具有国家网络安全等级保护工作协调小组办公室颁发的《网络安全等级保护测评机构推荐证书》。</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sz w:val="24"/>
          <w:szCs w:val="24"/>
        </w:rPr>
        <w:t>7、法律、行政法规规定的其他条件。</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hint="eastAsia"/>
          <w:sz w:val="24"/>
          <w:szCs w:val="24"/>
        </w:rPr>
        <w:t>（二）应符合《中华人民共和国政府采购法》第二十二条规定。</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hint="eastAsia"/>
          <w:sz w:val="24"/>
          <w:szCs w:val="24"/>
        </w:rPr>
        <w:t>（三）各报价单位自行对项目详细情况进行充分考察了解。</w:t>
      </w:r>
    </w:p>
    <w:p w:rsidR="00FA4B16" w:rsidRPr="00FA13FF" w:rsidRDefault="00423E53" w:rsidP="00423E53">
      <w:pPr>
        <w:spacing w:line="560" w:lineRule="exact"/>
        <w:rPr>
          <w:rFonts w:ascii="宋体" w:eastAsia="宋体" w:hAnsi="宋体"/>
          <w:sz w:val="24"/>
          <w:szCs w:val="24"/>
        </w:rPr>
      </w:pPr>
      <w:r w:rsidRPr="00FA13FF">
        <w:rPr>
          <w:rFonts w:ascii="宋体" w:eastAsia="宋体" w:hAnsi="宋体" w:hint="eastAsia"/>
          <w:sz w:val="24"/>
          <w:szCs w:val="24"/>
        </w:rPr>
        <w:t>（四）报价文件的构成：报价单</w:t>
      </w:r>
      <w:r w:rsidR="00FA4B16" w:rsidRPr="00FA13FF">
        <w:rPr>
          <w:rFonts w:ascii="宋体" w:eastAsia="宋体" w:hAnsi="宋体" w:hint="eastAsia"/>
          <w:sz w:val="24"/>
          <w:szCs w:val="24"/>
        </w:rPr>
        <w:t>（后附）、营业执照复印件、资质文件（所提供证件资料必须加盖公章，真实有效，具有法律效应），报价文件必须密封（否则视同废标）。</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hint="eastAsia"/>
          <w:sz w:val="24"/>
          <w:szCs w:val="24"/>
        </w:rPr>
        <w:t>（五）</w:t>
      </w:r>
      <w:r w:rsidRPr="00FA13FF">
        <w:rPr>
          <w:rFonts w:ascii="宋体" w:eastAsia="宋体" w:hAnsi="宋体"/>
          <w:sz w:val="24"/>
          <w:szCs w:val="24"/>
        </w:rPr>
        <w:t xml:space="preserve"> 报价有效期为报价截止后10天。</w:t>
      </w:r>
    </w:p>
    <w:p w:rsidR="00FA4B16" w:rsidRPr="00FA13FF" w:rsidRDefault="00FA4B16" w:rsidP="00423E53">
      <w:pPr>
        <w:spacing w:line="560" w:lineRule="exact"/>
        <w:rPr>
          <w:rFonts w:ascii="宋体" w:eastAsia="宋体" w:hAnsi="宋体"/>
          <w:sz w:val="24"/>
          <w:szCs w:val="24"/>
        </w:rPr>
      </w:pPr>
      <w:r w:rsidRPr="00FA13FF">
        <w:rPr>
          <w:rFonts w:ascii="宋体" w:eastAsia="宋体" w:hAnsi="宋体" w:hint="eastAsia"/>
          <w:sz w:val="24"/>
          <w:szCs w:val="24"/>
        </w:rPr>
        <w:t>（六）报价单位须提供真实有效的证明材料，采购单位有权验证提供材料的真实性，一旦发现，有权向有关部门举报并将其列入黑名单。</w:t>
      </w:r>
    </w:p>
    <w:p w:rsidR="00FA13FF" w:rsidRPr="00FA13FF" w:rsidRDefault="00FA13FF" w:rsidP="00FA13FF">
      <w:pPr>
        <w:spacing w:line="560" w:lineRule="exact"/>
        <w:rPr>
          <w:rFonts w:ascii="宋体" w:eastAsia="宋体" w:hAnsi="宋体"/>
          <w:sz w:val="24"/>
          <w:szCs w:val="24"/>
        </w:rPr>
      </w:pPr>
      <w:r w:rsidRPr="00FA13FF">
        <w:rPr>
          <w:rFonts w:ascii="宋体" w:eastAsia="宋体" w:hAnsi="宋体" w:hint="eastAsia"/>
          <w:sz w:val="24"/>
          <w:szCs w:val="24"/>
        </w:rPr>
        <w:t>四</w:t>
      </w:r>
      <w:r w:rsidRPr="00FA13FF">
        <w:rPr>
          <w:rFonts w:ascii="宋体" w:eastAsia="宋体" w:hAnsi="宋体" w:hint="eastAsia"/>
          <w:sz w:val="24"/>
          <w:szCs w:val="24"/>
        </w:rPr>
        <w:t>、评定方式</w:t>
      </w:r>
    </w:p>
    <w:p w:rsidR="00FA13FF" w:rsidRPr="00FA13FF" w:rsidRDefault="00FA13FF" w:rsidP="00FA13FF">
      <w:pPr>
        <w:spacing w:line="560" w:lineRule="exact"/>
        <w:rPr>
          <w:rFonts w:ascii="宋体" w:eastAsia="宋体" w:hAnsi="宋体"/>
          <w:sz w:val="24"/>
          <w:szCs w:val="24"/>
        </w:rPr>
      </w:pPr>
      <w:r w:rsidRPr="00FA13FF">
        <w:rPr>
          <w:rFonts w:ascii="宋体" w:eastAsia="宋体" w:hAnsi="宋体" w:hint="eastAsia"/>
          <w:sz w:val="24"/>
          <w:szCs w:val="24"/>
        </w:rPr>
        <w:t>在商务、技术条款均满足的情况下：</w:t>
      </w:r>
    </w:p>
    <w:p w:rsidR="00FA13FF" w:rsidRPr="00FA13FF" w:rsidRDefault="00FA13FF" w:rsidP="00FA13FF">
      <w:pPr>
        <w:spacing w:line="560" w:lineRule="exact"/>
        <w:rPr>
          <w:rFonts w:ascii="宋体" w:eastAsia="宋体" w:hAnsi="宋体"/>
          <w:sz w:val="24"/>
          <w:szCs w:val="24"/>
        </w:rPr>
      </w:pPr>
      <w:r w:rsidRPr="00FA13FF">
        <w:rPr>
          <w:rFonts w:ascii="宋体" w:eastAsia="宋体" w:hAnsi="宋体" w:hint="eastAsia"/>
          <w:sz w:val="24"/>
          <w:szCs w:val="24"/>
        </w:rPr>
        <w:t>若潜在应答人数量≥</w:t>
      </w:r>
      <w:r w:rsidRPr="00FA13FF">
        <w:rPr>
          <w:rFonts w:ascii="宋体" w:eastAsia="宋体" w:hAnsi="宋体"/>
          <w:sz w:val="24"/>
          <w:szCs w:val="24"/>
        </w:rPr>
        <w:t>3家，谈判小组根据应答人的评审价格由低到高进行排序，依据排名顺序推荐排名第一的应答人为中选候选人, 如果出现评审价格相同，则由同时具备ISO9001、ISO22301、以及信息安全风险评估认证证书的中选，如果都具备，则由项目经理具有“高级信息系统项目管理师”认证的中选。</w:t>
      </w:r>
    </w:p>
    <w:p w:rsidR="00FA4B16" w:rsidRPr="00FA13FF" w:rsidRDefault="00FA13FF" w:rsidP="00FA13FF">
      <w:pPr>
        <w:spacing w:line="560" w:lineRule="exact"/>
        <w:rPr>
          <w:rFonts w:ascii="宋体" w:eastAsia="宋体" w:hAnsi="宋体"/>
          <w:sz w:val="24"/>
          <w:szCs w:val="24"/>
        </w:rPr>
      </w:pPr>
      <w:r w:rsidRPr="00FA13FF">
        <w:rPr>
          <w:rFonts w:ascii="宋体" w:eastAsia="宋体" w:hAnsi="宋体" w:hint="eastAsia"/>
          <w:sz w:val="24"/>
          <w:szCs w:val="24"/>
        </w:rPr>
        <w:t>五</w:t>
      </w:r>
      <w:r w:rsidR="00FA4B16" w:rsidRPr="00FA13FF">
        <w:rPr>
          <w:rFonts w:ascii="宋体" w:eastAsia="宋体" w:hAnsi="宋体" w:hint="eastAsia"/>
          <w:sz w:val="24"/>
          <w:szCs w:val="24"/>
        </w:rPr>
        <w:t>、报价单格式</w:t>
      </w:r>
    </w:p>
    <w:tbl>
      <w:tblPr>
        <w:tblStyle w:val="a7"/>
        <w:tblW w:w="0" w:type="auto"/>
        <w:tblLook w:val="04A0" w:firstRow="1" w:lastRow="0" w:firstColumn="1" w:lastColumn="0" w:noHBand="0" w:noVBand="1"/>
      </w:tblPr>
      <w:tblGrid>
        <w:gridCol w:w="1037"/>
        <w:gridCol w:w="1037"/>
        <w:gridCol w:w="1037"/>
        <w:gridCol w:w="1037"/>
        <w:gridCol w:w="1037"/>
        <w:gridCol w:w="1037"/>
        <w:gridCol w:w="1037"/>
        <w:gridCol w:w="1037"/>
      </w:tblGrid>
      <w:tr w:rsidR="00423E53" w:rsidRPr="00423E53" w:rsidTr="00720019">
        <w:tc>
          <w:tcPr>
            <w:tcW w:w="1037" w:type="dxa"/>
          </w:tcPr>
          <w:p w:rsidR="00423E53" w:rsidRPr="00423E53" w:rsidRDefault="00423E53" w:rsidP="00FA4B16">
            <w:pPr>
              <w:rPr>
                <w:rFonts w:ascii="宋体" w:eastAsia="宋体" w:hAnsi="宋体"/>
                <w:szCs w:val="21"/>
              </w:rPr>
            </w:pPr>
            <w:r w:rsidRPr="00423E53">
              <w:rPr>
                <w:rFonts w:ascii="宋体" w:eastAsia="宋体" w:hAnsi="宋体" w:hint="eastAsia"/>
                <w:szCs w:val="21"/>
              </w:rPr>
              <w:t>序号</w:t>
            </w:r>
          </w:p>
        </w:tc>
        <w:tc>
          <w:tcPr>
            <w:tcW w:w="1037" w:type="dxa"/>
          </w:tcPr>
          <w:p w:rsidR="00423E53" w:rsidRPr="00423E53" w:rsidRDefault="00423E53" w:rsidP="00FA4B16">
            <w:pPr>
              <w:rPr>
                <w:rFonts w:ascii="宋体" w:eastAsia="宋体" w:hAnsi="宋体"/>
                <w:szCs w:val="21"/>
              </w:rPr>
            </w:pPr>
            <w:r w:rsidRPr="00423E53">
              <w:rPr>
                <w:rFonts w:ascii="宋体" w:eastAsia="宋体" w:hAnsi="宋体" w:hint="eastAsia"/>
                <w:szCs w:val="21"/>
              </w:rPr>
              <w:t>名称</w:t>
            </w:r>
          </w:p>
        </w:tc>
        <w:tc>
          <w:tcPr>
            <w:tcW w:w="1037" w:type="dxa"/>
          </w:tcPr>
          <w:p w:rsidR="00423E53" w:rsidRPr="00423E53" w:rsidRDefault="00423E53" w:rsidP="00FA4B16">
            <w:pPr>
              <w:rPr>
                <w:rFonts w:ascii="宋体" w:eastAsia="宋体" w:hAnsi="宋体"/>
                <w:szCs w:val="21"/>
              </w:rPr>
            </w:pPr>
            <w:r w:rsidRPr="00423E53">
              <w:rPr>
                <w:rFonts w:ascii="宋体" w:eastAsia="宋体" w:hAnsi="宋体" w:hint="eastAsia"/>
                <w:szCs w:val="21"/>
              </w:rPr>
              <w:t>参数要求</w:t>
            </w:r>
          </w:p>
        </w:tc>
        <w:tc>
          <w:tcPr>
            <w:tcW w:w="1037" w:type="dxa"/>
          </w:tcPr>
          <w:p w:rsidR="00423E53" w:rsidRPr="00423E53" w:rsidRDefault="00423E53" w:rsidP="00FA4B16">
            <w:pPr>
              <w:rPr>
                <w:rFonts w:ascii="宋体" w:eastAsia="宋体" w:hAnsi="宋体"/>
                <w:szCs w:val="21"/>
              </w:rPr>
            </w:pPr>
            <w:r w:rsidRPr="00423E53">
              <w:rPr>
                <w:rFonts w:ascii="宋体" w:eastAsia="宋体" w:hAnsi="宋体" w:hint="eastAsia"/>
                <w:szCs w:val="21"/>
              </w:rPr>
              <w:t>响应情况</w:t>
            </w:r>
            <w:r>
              <w:rPr>
                <w:rFonts w:ascii="宋体" w:eastAsia="宋体" w:hAnsi="宋体" w:hint="eastAsia"/>
                <w:szCs w:val="21"/>
              </w:rPr>
              <w:t>说明</w:t>
            </w:r>
          </w:p>
        </w:tc>
        <w:tc>
          <w:tcPr>
            <w:tcW w:w="1037" w:type="dxa"/>
          </w:tcPr>
          <w:p w:rsidR="00423E53" w:rsidRPr="00423E53" w:rsidRDefault="00423E53" w:rsidP="00FA4B16">
            <w:pPr>
              <w:rPr>
                <w:rFonts w:ascii="宋体" w:eastAsia="宋体" w:hAnsi="宋体"/>
                <w:szCs w:val="21"/>
              </w:rPr>
            </w:pPr>
            <w:r w:rsidRPr="00423E53">
              <w:rPr>
                <w:rFonts w:ascii="宋体" w:eastAsia="宋体" w:hAnsi="宋体" w:hint="eastAsia"/>
                <w:szCs w:val="21"/>
              </w:rPr>
              <w:t>单价</w:t>
            </w:r>
          </w:p>
        </w:tc>
        <w:tc>
          <w:tcPr>
            <w:tcW w:w="1037" w:type="dxa"/>
          </w:tcPr>
          <w:p w:rsidR="00423E53" w:rsidRPr="00423E53" w:rsidRDefault="00423E53" w:rsidP="00FA4B16">
            <w:pPr>
              <w:rPr>
                <w:rFonts w:ascii="宋体" w:eastAsia="宋体" w:hAnsi="宋体"/>
                <w:szCs w:val="21"/>
              </w:rPr>
            </w:pPr>
            <w:r w:rsidRPr="00423E53">
              <w:rPr>
                <w:rFonts w:ascii="宋体" w:eastAsia="宋体" w:hAnsi="宋体" w:hint="eastAsia"/>
                <w:szCs w:val="21"/>
              </w:rPr>
              <w:t>数量</w:t>
            </w:r>
          </w:p>
        </w:tc>
        <w:tc>
          <w:tcPr>
            <w:tcW w:w="1037" w:type="dxa"/>
          </w:tcPr>
          <w:p w:rsidR="00423E53" w:rsidRPr="00423E53" w:rsidRDefault="00423E53" w:rsidP="00FA4B16">
            <w:pPr>
              <w:rPr>
                <w:rFonts w:ascii="宋体" w:eastAsia="宋体" w:hAnsi="宋体"/>
                <w:szCs w:val="21"/>
              </w:rPr>
            </w:pPr>
            <w:r w:rsidRPr="00423E53">
              <w:rPr>
                <w:rFonts w:ascii="宋体" w:eastAsia="宋体" w:hAnsi="宋体" w:hint="eastAsia"/>
                <w:szCs w:val="21"/>
              </w:rPr>
              <w:t>总价</w:t>
            </w:r>
          </w:p>
        </w:tc>
        <w:tc>
          <w:tcPr>
            <w:tcW w:w="1037" w:type="dxa"/>
          </w:tcPr>
          <w:p w:rsidR="00423E53" w:rsidRPr="00423E53" w:rsidRDefault="00423E53" w:rsidP="00FA4B16">
            <w:pPr>
              <w:rPr>
                <w:rFonts w:ascii="宋体" w:eastAsia="宋体" w:hAnsi="宋体"/>
                <w:szCs w:val="21"/>
              </w:rPr>
            </w:pPr>
            <w:r w:rsidRPr="00423E53">
              <w:rPr>
                <w:rFonts w:ascii="宋体" w:eastAsia="宋体" w:hAnsi="宋体" w:hint="eastAsia"/>
                <w:szCs w:val="21"/>
              </w:rPr>
              <w:t>备注</w:t>
            </w:r>
          </w:p>
        </w:tc>
      </w:tr>
      <w:tr w:rsidR="00423E53" w:rsidRPr="00423E53" w:rsidTr="00720019">
        <w:tc>
          <w:tcPr>
            <w:tcW w:w="1037" w:type="dxa"/>
          </w:tcPr>
          <w:p w:rsidR="00423E53" w:rsidRPr="00423E53" w:rsidRDefault="00423E53" w:rsidP="00FA4B16">
            <w:pPr>
              <w:rPr>
                <w:rFonts w:ascii="宋体" w:eastAsia="宋体" w:hAnsi="宋体"/>
                <w:szCs w:val="21"/>
              </w:rPr>
            </w:pPr>
            <w:r w:rsidRPr="00423E53">
              <w:rPr>
                <w:rFonts w:ascii="宋体" w:eastAsia="宋体" w:hAnsi="宋体" w:hint="eastAsia"/>
                <w:szCs w:val="21"/>
              </w:rPr>
              <w:t>1</w:t>
            </w:r>
          </w:p>
        </w:tc>
        <w:tc>
          <w:tcPr>
            <w:tcW w:w="1037" w:type="dxa"/>
          </w:tcPr>
          <w:p w:rsidR="00423E53" w:rsidRPr="00423E53" w:rsidRDefault="00423E53" w:rsidP="00FA4B16">
            <w:pPr>
              <w:rPr>
                <w:rFonts w:ascii="宋体" w:eastAsia="宋体" w:hAnsi="宋体"/>
                <w:szCs w:val="21"/>
              </w:rPr>
            </w:pPr>
            <w:r w:rsidRPr="00423E53">
              <w:rPr>
                <w:rFonts w:ascii="宋体" w:eastAsia="宋体" w:hAnsi="宋体" w:hint="eastAsia"/>
                <w:szCs w:val="21"/>
              </w:rPr>
              <w:t>三级等保测评</w:t>
            </w:r>
          </w:p>
        </w:tc>
        <w:tc>
          <w:tcPr>
            <w:tcW w:w="1037" w:type="dxa"/>
          </w:tcPr>
          <w:p w:rsidR="00423E53" w:rsidRPr="00423E53" w:rsidRDefault="00423E53" w:rsidP="00FA4B16">
            <w:pPr>
              <w:rPr>
                <w:rFonts w:ascii="宋体" w:eastAsia="宋体" w:hAnsi="宋体"/>
                <w:szCs w:val="21"/>
              </w:rPr>
            </w:pPr>
            <w:r w:rsidRPr="00423E53">
              <w:rPr>
                <w:rFonts w:ascii="宋体" w:eastAsia="宋体" w:hAnsi="宋体" w:hint="eastAsia"/>
                <w:szCs w:val="21"/>
              </w:rPr>
              <w:t>满足安徽省公安厅要求的正式测评报告</w:t>
            </w:r>
          </w:p>
        </w:tc>
        <w:tc>
          <w:tcPr>
            <w:tcW w:w="1037" w:type="dxa"/>
          </w:tcPr>
          <w:p w:rsidR="00423E53" w:rsidRPr="00423E53" w:rsidRDefault="00423E53" w:rsidP="00FA4B16">
            <w:pPr>
              <w:rPr>
                <w:rFonts w:ascii="宋体" w:eastAsia="宋体" w:hAnsi="宋体"/>
                <w:szCs w:val="21"/>
              </w:rPr>
            </w:pPr>
          </w:p>
        </w:tc>
        <w:tc>
          <w:tcPr>
            <w:tcW w:w="1037" w:type="dxa"/>
          </w:tcPr>
          <w:p w:rsidR="00423E53" w:rsidRPr="00423E53" w:rsidRDefault="00423E53" w:rsidP="00FA4B16">
            <w:pPr>
              <w:rPr>
                <w:rFonts w:ascii="宋体" w:eastAsia="宋体" w:hAnsi="宋体"/>
                <w:szCs w:val="21"/>
              </w:rPr>
            </w:pPr>
          </w:p>
        </w:tc>
        <w:tc>
          <w:tcPr>
            <w:tcW w:w="1037" w:type="dxa"/>
          </w:tcPr>
          <w:p w:rsidR="00423E53" w:rsidRPr="00423E53" w:rsidRDefault="00423E53" w:rsidP="00FA4B16">
            <w:pPr>
              <w:rPr>
                <w:rFonts w:ascii="宋体" w:eastAsia="宋体" w:hAnsi="宋体"/>
                <w:szCs w:val="21"/>
              </w:rPr>
            </w:pPr>
            <w:r>
              <w:rPr>
                <w:rFonts w:ascii="宋体" w:eastAsia="宋体" w:hAnsi="宋体" w:hint="eastAsia"/>
                <w:szCs w:val="21"/>
              </w:rPr>
              <w:t>1</w:t>
            </w:r>
          </w:p>
        </w:tc>
        <w:tc>
          <w:tcPr>
            <w:tcW w:w="1037" w:type="dxa"/>
          </w:tcPr>
          <w:p w:rsidR="00423E53" w:rsidRPr="00423E53" w:rsidRDefault="00423E53" w:rsidP="00FA4B16">
            <w:pPr>
              <w:rPr>
                <w:rFonts w:ascii="宋体" w:eastAsia="宋体" w:hAnsi="宋体"/>
                <w:szCs w:val="21"/>
              </w:rPr>
            </w:pPr>
          </w:p>
        </w:tc>
        <w:tc>
          <w:tcPr>
            <w:tcW w:w="1037" w:type="dxa"/>
          </w:tcPr>
          <w:p w:rsidR="00423E53" w:rsidRPr="00423E53" w:rsidRDefault="00423E53" w:rsidP="00FA4B16">
            <w:pPr>
              <w:rPr>
                <w:rFonts w:ascii="宋体" w:eastAsia="宋体" w:hAnsi="宋体"/>
                <w:szCs w:val="21"/>
              </w:rPr>
            </w:pPr>
          </w:p>
        </w:tc>
      </w:tr>
      <w:tr w:rsidR="00423E53" w:rsidRPr="00423E53" w:rsidTr="00720019">
        <w:tc>
          <w:tcPr>
            <w:tcW w:w="1037" w:type="dxa"/>
          </w:tcPr>
          <w:p w:rsidR="00423E53" w:rsidRPr="00423E53" w:rsidRDefault="00423E53" w:rsidP="00FA4B16">
            <w:pPr>
              <w:rPr>
                <w:rFonts w:ascii="宋体" w:eastAsia="宋体" w:hAnsi="宋体"/>
                <w:szCs w:val="21"/>
              </w:rPr>
            </w:pPr>
          </w:p>
        </w:tc>
        <w:tc>
          <w:tcPr>
            <w:tcW w:w="1037" w:type="dxa"/>
          </w:tcPr>
          <w:p w:rsidR="00423E53" w:rsidRPr="00423E53" w:rsidRDefault="00423E53" w:rsidP="00FA4B16">
            <w:pPr>
              <w:rPr>
                <w:rFonts w:ascii="宋体" w:eastAsia="宋体" w:hAnsi="宋体"/>
                <w:szCs w:val="21"/>
              </w:rPr>
            </w:pPr>
          </w:p>
        </w:tc>
        <w:tc>
          <w:tcPr>
            <w:tcW w:w="1037" w:type="dxa"/>
          </w:tcPr>
          <w:p w:rsidR="00423E53" w:rsidRPr="00423E53" w:rsidRDefault="00423E53" w:rsidP="00FA4B16">
            <w:pPr>
              <w:rPr>
                <w:rFonts w:ascii="宋体" w:eastAsia="宋体" w:hAnsi="宋体"/>
                <w:szCs w:val="21"/>
              </w:rPr>
            </w:pPr>
          </w:p>
        </w:tc>
        <w:tc>
          <w:tcPr>
            <w:tcW w:w="1037" w:type="dxa"/>
          </w:tcPr>
          <w:p w:rsidR="00423E53" w:rsidRPr="00423E53" w:rsidRDefault="00423E53" w:rsidP="00FA4B16">
            <w:pPr>
              <w:rPr>
                <w:rFonts w:ascii="宋体" w:eastAsia="宋体" w:hAnsi="宋体"/>
                <w:szCs w:val="21"/>
              </w:rPr>
            </w:pPr>
          </w:p>
        </w:tc>
        <w:tc>
          <w:tcPr>
            <w:tcW w:w="1037" w:type="dxa"/>
          </w:tcPr>
          <w:p w:rsidR="00423E53" w:rsidRPr="00423E53" w:rsidRDefault="00423E53" w:rsidP="00FA4B16">
            <w:pPr>
              <w:rPr>
                <w:rFonts w:ascii="宋体" w:eastAsia="宋体" w:hAnsi="宋体"/>
                <w:szCs w:val="21"/>
              </w:rPr>
            </w:pPr>
          </w:p>
        </w:tc>
        <w:tc>
          <w:tcPr>
            <w:tcW w:w="1037" w:type="dxa"/>
          </w:tcPr>
          <w:p w:rsidR="00423E53" w:rsidRPr="00423E53" w:rsidRDefault="00423E53" w:rsidP="00FA4B16">
            <w:pPr>
              <w:rPr>
                <w:rFonts w:ascii="宋体" w:eastAsia="宋体" w:hAnsi="宋体"/>
                <w:szCs w:val="21"/>
              </w:rPr>
            </w:pPr>
          </w:p>
        </w:tc>
        <w:tc>
          <w:tcPr>
            <w:tcW w:w="1037" w:type="dxa"/>
          </w:tcPr>
          <w:p w:rsidR="00423E53" w:rsidRPr="00423E53" w:rsidRDefault="00423E53" w:rsidP="00FA4B16">
            <w:pPr>
              <w:rPr>
                <w:rFonts w:ascii="宋体" w:eastAsia="宋体" w:hAnsi="宋体"/>
                <w:szCs w:val="21"/>
              </w:rPr>
            </w:pPr>
          </w:p>
        </w:tc>
        <w:tc>
          <w:tcPr>
            <w:tcW w:w="1037" w:type="dxa"/>
          </w:tcPr>
          <w:p w:rsidR="00423E53" w:rsidRPr="00423E53" w:rsidRDefault="00423E53" w:rsidP="00FA4B16">
            <w:pPr>
              <w:rPr>
                <w:rFonts w:ascii="宋体" w:eastAsia="宋体" w:hAnsi="宋体"/>
                <w:szCs w:val="21"/>
              </w:rPr>
            </w:pPr>
          </w:p>
        </w:tc>
      </w:tr>
    </w:tbl>
    <w:p w:rsidR="00FA4B16" w:rsidRPr="00FA4B16" w:rsidRDefault="00FA4B16" w:rsidP="00FA4B16">
      <w:bookmarkStart w:id="0" w:name="_GoBack"/>
      <w:bookmarkEnd w:id="0"/>
    </w:p>
    <w:sectPr w:rsidR="00FA4B16" w:rsidRPr="00FA4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570" w:rsidRDefault="00716570" w:rsidP="00FA4B16">
      <w:r>
        <w:separator/>
      </w:r>
    </w:p>
  </w:endnote>
  <w:endnote w:type="continuationSeparator" w:id="0">
    <w:p w:rsidR="00716570" w:rsidRDefault="00716570" w:rsidP="00FA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570" w:rsidRDefault="00716570" w:rsidP="00FA4B16">
      <w:r>
        <w:separator/>
      </w:r>
    </w:p>
  </w:footnote>
  <w:footnote w:type="continuationSeparator" w:id="0">
    <w:p w:rsidR="00716570" w:rsidRDefault="00716570" w:rsidP="00FA4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19"/>
    <w:rsid w:val="00423E53"/>
    <w:rsid w:val="00486AF9"/>
    <w:rsid w:val="00630119"/>
    <w:rsid w:val="00716570"/>
    <w:rsid w:val="0075783C"/>
    <w:rsid w:val="008D2A59"/>
    <w:rsid w:val="00D7587D"/>
    <w:rsid w:val="00FA13FF"/>
    <w:rsid w:val="00FA4B16"/>
    <w:rsid w:val="00FF4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B6F7B"/>
  <w15:chartTrackingRefBased/>
  <w15:docId w15:val="{A176DF01-2F51-4E52-8AE5-88F3D0A3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B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4B16"/>
    <w:rPr>
      <w:sz w:val="18"/>
      <w:szCs w:val="18"/>
    </w:rPr>
  </w:style>
  <w:style w:type="paragraph" w:styleId="a5">
    <w:name w:val="footer"/>
    <w:basedOn w:val="a"/>
    <w:link w:val="a6"/>
    <w:uiPriority w:val="99"/>
    <w:unhideWhenUsed/>
    <w:rsid w:val="00FA4B16"/>
    <w:pPr>
      <w:tabs>
        <w:tab w:val="center" w:pos="4153"/>
        <w:tab w:val="right" w:pos="8306"/>
      </w:tabs>
      <w:snapToGrid w:val="0"/>
      <w:jc w:val="left"/>
    </w:pPr>
    <w:rPr>
      <w:sz w:val="18"/>
      <w:szCs w:val="18"/>
    </w:rPr>
  </w:style>
  <w:style w:type="character" w:customStyle="1" w:styleId="a6">
    <w:name w:val="页脚 字符"/>
    <w:basedOn w:val="a0"/>
    <w:link w:val="a5"/>
    <w:uiPriority w:val="99"/>
    <w:rsid w:val="00FA4B16"/>
    <w:rPr>
      <w:sz w:val="18"/>
      <w:szCs w:val="18"/>
    </w:rPr>
  </w:style>
  <w:style w:type="table" w:styleId="a7">
    <w:name w:val="Table Grid"/>
    <w:basedOn w:val="a1"/>
    <w:uiPriority w:val="39"/>
    <w:rsid w:val="00FA4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yjl</dc:creator>
  <cp:keywords/>
  <dc:description/>
  <cp:lastModifiedBy>yjl</cp:lastModifiedBy>
  <cp:revision>5</cp:revision>
  <dcterms:created xsi:type="dcterms:W3CDTF">2021-03-15T08:34:00Z</dcterms:created>
  <dcterms:modified xsi:type="dcterms:W3CDTF">2021-03-16T03:36:00Z</dcterms:modified>
</cp:coreProperties>
</file>