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FB" w:rsidRDefault="0009581F">
      <w:pPr>
        <w:spacing w:line="560" w:lineRule="exact"/>
        <w:rPr>
          <w:rFonts w:ascii="宋体" w:eastAsia="宋体" w:hAnsi="宋体"/>
          <w:sz w:val="24"/>
          <w:szCs w:val="24"/>
        </w:rPr>
      </w:pPr>
      <w:r>
        <w:rPr>
          <w:rFonts w:ascii="宋体" w:eastAsia="宋体" w:hAnsi="宋体" w:hint="eastAsia"/>
          <w:sz w:val="24"/>
          <w:szCs w:val="24"/>
        </w:rPr>
        <w:t>一、项目需求</w:t>
      </w:r>
    </w:p>
    <w:p w:rsidR="00B45E40" w:rsidRDefault="00B45E40" w:rsidP="00B45E40">
      <w:pPr>
        <w:spacing w:line="560" w:lineRule="exact"/>
        <w:ind w:firstLineChars="200" w:firstLine="480"/>
        <w:rPr>
          <w:rFonts w:ascii="宋体" w:eastAsia="宋体" w:hAnsi="宋体"/>
          <w:sz w:val="24"/>
          <w:szCs w:val="24"/>
        </w:rPr>
      </w:pPr>
      <w:r w:rsidRPr="00B45E40">
        <w:rPr>
          <w:rFonts w:ascii="宋体" w:eastAsia="宋体" w:hAnsi="宋体"/>
          <w:sz w:val="24"/>
          <w:szCs w:val="24"/>
        </w:rPr>
        <w:t>滁州市农村宅基管理信息系统项目第三方软件测试服务主要包含对系统功能逐一开展测试，对登录模块、首页模块、建房审批模块、监管管理模块以及档案管理模块进行详细分析，全面梳理功能测试需求点，针对每个需求点设计正常和异常的测试用例，检测系统是否逐项满足了建设内容需求，最后根据测试结果出局详细的测试报告。</w:t>
      </w:r>
    </w:p>
    <w:p w:rsidR="005B49FB" w:rsidRDefault="00B45E40" w:rsidP="00B45E40">
      <w:pPr>
        <w:spacing w:line="560" w:lineRule="exact"/>
        <w:rPr>
          <w:rFonts w:ascii="宋体" w:eastAsia="宋体" w:hAnsi="宋体"/>
          <w:sz w:val="24"/>
          <w:szCs w:val="24"/>
        </w:rPr>
      </w:pPr>
      <w:r>
        <w:rPr>
          <w:rFonts w:ascii="宋体" w:eastAsia="宋体" w:hAnsi="宋体" w:hint="eastAsia"/>
          <w:sz w:val="24"/>
          <w:szCs w:val="24"/>
        </w:rPr>
        <w:t>二</w:t>
      </w:r>
      <w:r w:rsidR="0009581F">
        <w:rPr>
          <w:rFonts w:ascii="宋体" w:eastAsia="宋体" w:hAnsi="宋体" w:hint="eastAsia"/>
          <w:sz w:val="24"/>
          <w:szCs w:val="24"/>
        </w:rPr>
        <w:t>、报价单位须知</w:t>
      </w:r>
    </w:p>
    <w:p w:rsidR="005B49FB" w:rsidRDefault="0009581F">
      <w:pPr>
        <w:spacing w:line="560" w:lineRule="exact"/>
        <w:rPr>
          <w:rFonts w:ascii="宋体" w:eastAsia="宋体" w:hAnsi="宋体"/>
          <w:sz w:val="24"/>
          <w:szCs w:val="24"/>
        </w:rPr>
      </w:pPr>
      <w:r>
        <w:rPr>
          <w:rFonts w:ascii="宋体" w:eastAsia="宋体" w:hAnsi="宋体" w:hint="eastAsia"/>
          <w:sz w:val="24"/>
          <w:szCs w:val="24"/>
        </w:rPr>
        <w:t>（一）基本资格条件</w:t>
      </w:r>
    </w:p>
    <w:p w:rsidR="005B49FB" w:rsidRDefault="0009581F">
      <w:pPr>
        <w:spacing w:line="560" w:lineRule="exact"/>
        <w:rPr>
          <w:rFonts w:ascii="宋体" w:eastAsia="宋体" w:hAnsi="宋体"/>
          <w:sz w:val="24"/>
          <w:szCs w:val="24"/>
        </w:rPr>
      </w:pPr>
      <w:r>
        <w:rPr>
          <w:rFonts w:ascii="宋体" w:eastAsia="宋体" w:hAnsi="宋体"/>
          <w:sz w:val="24"/>
          <w:szCs w:val="24"/>
        </w:rPr>
        <w:t>1、具有独立承担民事责任的能力；</w:t>
      </w:r>
    </w:p>
    <w:p w:rsidR="005B49FB" w:rsidRDefault="0009581F">
      <w:pPr>
        <w:spacing w:line="560" w:lineRule="exact"/>
        <w:rPr>
          <w:rFonts w:ascii="宋体" w:eastAsia="宋体" w:hAnsi="宋体"/>
          <w:sz w:val="24"/>
          <w:szCs w:val="24"/>
        </w:rPr>
      </w:pPr>
      <w:r>
        <w:rPr>
          <w:rFonts w:ascii="宋体" w:eastAsia="宋体" w:hAnsi="宋体"/>
          <w:sz w:val="24"/>
          <w:szCs w:val="24"/>
        </w:rPr>
        <w:t>2、具有良好的商业信誉和健全的财务会计制度；</w:t>
      </w:r>
    </w:p>
    <w:p w:rsidR="005B49FB" w:rsidRDefault="0009581F">
      <w:pPr>
        <w:spacing w:line="560" w:lineRule="exact"/>
        <w:rPr>
          <w:rFonts w:ascii="宋体" w:eastAsia="宋体" w:hAnsi="宋体"/>
          <w:sz w:val="24"/>
          <w:szCs w:val="24"/>
        </w:rPr>
      </w:pPr>
      <w:r>
        <w:rPr>
          <w:rFonts w:ascii="宋体" w:eastAsia="宋体" w:hAnsi="宋体"/>
          <w:sz w:val="24"/>
          <w:szCs w:val="24"/>
        </w:rPr>
        <w:t>3、具有履行合同所必需的设备和专业技术能力；</w:t>
      </w:r>
    </w:p>
    <w:p w:rsidR="005B49FB" w:rsidRDefault="0009581F">
      <w:pPr>
        <w:spacing w:line="560" w:lineRule="exact"/>
        <w:rPr>
          <w:rFonts w:ascii="宋体" w:eastAsia="宋体" w:hAnsi="宋体"/>
          <w:sz w:val="24"/>
          <w:szCs w:val="24"/>
        </w:rPr>
      </w:pPr>
      <w:r>
        <w:rPr>
          <w:rFonts w:ascii="宋体" w:eastAsia="宋体" w:hAnsi="宋体"/>
          <w:sz w:val="24"/>
          <w:szCs w:val="24"/>
        </w:rPr>
        <w:t>4、有依法缴纳税收和社会保障资金的良好记录；</w:t>
      </w:r>
    </w:p>
    <w:p w:rsidR="005B49FB" w:rsidRDefault="0009581F">
      <w:pPr>
        <w:spacing w:line="560" w:lineRule="exact"/>
        <w:rPr>
          <w:rFonts w:ascii="宋体" w:eastAsia="宋体" w:hAnsi="宋体"/>
          <w:sz w:val="24"/>
          <w:szCs w:val="24"/>
        </w:rPr>
      </w:pPr>
      <w:r>
        <w:rPr>
          <w:rFonts w:ascii="宋体" w:eastAsia="宋体" w:hAnsi="宋体"/>
          <w:sz w:val="24"/>
          <w:szCs w:val="24"/>
        </w:rPr>
        <w:t>5、参加政府采购活动前三年内，在经营活动中没有重大违法记录；</w:t>
      </w:r>
    </w:p>
    <w:p w:rsidR="005B49FB" w:rsidRDefault="0009581F" w:rsidP="00B45E40">
      <w:pPr>
        <w:spacing w:line="560" w:lineRule="exact"/>
        <w:rPr>
          <w:rFonts w:ascii="宋体" w:eastAsia="宋体" w:hAnsi="宋体"/>
          <w:sz w:val="24"/>
          <w:szCs w:val="24"/>
        </w:rPr>
      </w:pPr>
      <w:r>
        <w:rPr>
          <w:rFonts w:ascii="宋体" w:eastAsia="宋体" w:hAnsi="宋体"/>
          <w:sz w:val="24"/>
          <w:szCs w:val="24"/>
        </w:rPr>
        <w:t>6、法律、行政法规规定的其他条件。</w:t>
      </w:r>
    </w:p>
    <w:p w:rsidR="005B49FB" w:rsidRDefault="0009581F">
      <w:pPr>
        <w:spacing w:line="560" w:lineRule="exact"/>
        <w:rPr>
          <w:rFonts w:ascii="宋体" w:eastAsia="宋体" w:hAnsi="宋体"/>
          <w:sz w:val="24"/>
          <w:szCs w:val="24"/>
        </w:rPr>
      </w:pPr>
      <w:r>
        <w:rPr>
          <w:rFonts w:ascii="宋体" w:eastAsia="宋体" w:hAnsi="宋体" w:hint="eastAsia"/>
          <w:sz w:val="24"/>
          <w:szCs w:val="24"/>
        </w:rPr>
        <w:t>（二）应符合《中华人民共和国政府采购法》第二十二条规定。</w:t>
      </w:r>
    </w:p>
    <w:p w:rsidR="005B49FB" w:rsidRDefault="0009581F">
      <w:pPr>
        <w:spacing w:line="560" w:lineRule="exact"/>
        <w:rPr>
          <w:rFonts w:ascii="宋体" w:eastAsia="宋体" w:hAnsi="宋体"/>
          <w:sz w:val="24"/>
          <w:szCs w:val="24"/>
        </w:rPr>
      </w:pPr>
      <w:r>
        <w:rPr>
          <w:rFonts w:ascii="宋体" w:eastAsia="宋体" w:hAnsi="宋体" w:hint="eastAsia"/>
          <w:sz w:val="24"/>
          <w:szCs w:val="24"/>
        </w:rPr>
        <w:t>（三）各报价单位自行对项目详细情况进行充分考察了解。</w:t>
      </w:r>
    </w:p>
    <w:p w:rsidR="005B49FB" w:rsidRDefault="0009581F">
      <w:pPr>
        <w:spacing w:line="560" w:lineRule="exact"/>
        <w:rPr>
          <w:rFonts w:ascii="宋体" w:eastAsia="宋体" w:hAnsi="宋体"/>
          <w:sz w:val="24"/>
          <w:szCs w:val="24"/>
        </w:rPr>
      </w:pPr>
      <w:r>
        <w:rPr>
          <w:rFonts w:ascii="宋体" w:eastAsia="宋体" w:hAnsi="宋体" w:hint="eastAsia"/>
          <w:sz w:val="24"/>
          <w:szCs w:val="24"/>
        </w:rPr>
        <w:t>（四）报价文件的构成：报价单（后附）、营业执照复印件、资质文件（所提供证件资料必须加盖公章，真实有效，具有法律效应），报价文件必须密封（否则视同废标）。</w:t>
      </w:r>
    </w:p>
    <w:p w:rsidR="005B49FB" w:rsidRDefault="0009581F">
      <w:pPr>
        <w:spacing w:line="560" w:lineRule="exact"/>
        <w:rPr>
          <w:rFonts w:ascii="宋体" w:eastAsia="宋体" w:hAnsi="宋体"/>
          <w:sz w:val="24"/>
          <w:szCs w:val="24"/>
        </w:rPr>
      </w:pPr>
      <w:r>
        <w:rPr>
          <w:rFonts w:ascii="宋体" w:eastAsia="宋体" w:hAnsi="宋体" w:hint="eastAsia"/>
          <w:sz w:val="24"/>
          <w:szCs w:val="24"/>
        </w:rPr>
        <w:t>（五）</w:t>
      </w:r>
      <w:r>
        <w:rPr>
          <w:rFonts w:ascii="宋体" w:eastAsia="宋体" w:hAnsi="宋体"/>
          <w:sz w:val="24"/>
          <w:szCs w:val="24"/>
        </w:rPr>
        <w:t xml:space="preserve"> 报价有效期为报价截止后</w:t>
      </w:r>
      <w:r w:rsidR="00B45E40">
        <w:rPr>
          <w:rFonts w:ascii="宋体" w:eastAsia="宋体" w:hAnsi="宋体"/>
          <w:sz w:val="24"/>
          <w:szCs w:val="24"/>
        </w:rPr>
        <w:t>3</w:t>
      </w:r>
      <w:r w:rsidR="00B45E40">
        <w:rPr>
          <w:rFonts w:ascii="宋体" w:eastAsia="宋体" w:hAnsi="宋体" w:hint="eastAsia"/>
          <w:sz w:val="24"/>
          <w:szCs w:val="24"/>
        </w:rPr>
        <w:t>个工作日</w:t>
      </w:r>
      <w:r>
        <w:rPr>
          <w:rFonts w:ascii="宋体" w:eastAsia="宋体" w:hAnsi="宋体"/>
          <w:sz w:val="24"/>
          <w:szCs w:val="24"/>
        </w:rPr>
        <w:t>。</w:t>
      </w:r>
    </w:p>
    <w:p w:rsidR="005B49FB" w:rsidRDefault="0009581F">
      <w:pPr>
        <w:spacing w:line="560" w:lineRule="exact"/>
        <w:rPr>
          <w:rFonts w:ascii="宋体" w:eastAsia="宋体" w:hAnsi="宋体"/>
          <w:sz w:val="24"/>
          <w:szCs w:val="24"/>
        </w:rPr>
      </w:pPr>
      <w:r>
        <w:rPr>
          <w:rFonts w:ascii="宋体" w:eastAsia="宋体" w:hAnsi="宋体" w:hint="eastAsia"/>
          <w:sz w:val="24"/>
          <w:szCs w:val="24"/>
        </w:rPr>
        <w:t>（六）报价单位须提供真实有效的证明材料，采购单位有权验证提供材料的真实性，一旦发现，有权向有关部门举报并将其列入黑名单。</w:t>
      </w:r>
    </w:p>
    <w:p w:rsidR="005B49FB" w:rsidRDefault="00B45E40">
      <w:pPr>
        <w:spacing w:line="560" w:lineRule="exact"/>
        <w:rPr>
          <w:rFonts w:ascii="宋体" w:eastAsia="宋体" w:hAnsi="宋体"/>
          <w:sz w:val="24"/>
          <w:szCs w:val="24"/>
        </w:rPr>
      </w:pPr>
      <w:r>
        <w:rPr>
          <w:rFonts w:ascii="宋体" w:eastAsia="宋体" w:hAnsi="宋体" w:hint="eastAsia"/>
          <w:sz w:val="24"/>
          <w:szCs w:val="24"/>
        </w:rPr>
        <w:t>三</w:t>
      </w:r>
      <w:r w:rsidR="0009581F">
        <w:rPr>
          <w:rFonts w:ascii="宋体" w:eastAsia="宋体" w:hAnsi="宋体" w:hint="eastAsia"/>
          <w:sz w:val="24"/>
          <w:szCs w:val="24"/>
        </w:rPr>
        <w:t>、评定方式</w:t>
      </w:r>
    </w:p>
    <w:p w:rsidR="005B49FB" w:rsidRDefault="0009581F">
      <w:pPr>
        <w:spacing w:line="560" w:lineRule="exact"/>
        <w:rPr>
          <w:rFonts w:ascii="宋体" w:eastAsia="宋体" w:hAnsi="宋体"/>
          <w:sz w:val="24"/>
          <w:szCs w:val="24"/>
        </w:rPr>
      </w:pPr>
      <w:r>
        <w:rPr>
          <w:rFonts w:ascii="宋体" w:eastAsia="宋体" w:hAnsi="宋体" w:hint="eastAsia"/>
          <w:sz w:val="24"/>
          <w:szCs w:val="24"/>
        </w:rPr>
        <w:t>在商务、技术条款均满足的情况下：</w:t>
      </w:r>
    </w:p>
    <w:p w:rsidR="00B45E40" w:rsidRPr="00B45E40" w:rsidRDefault="00B45E40">
      <w:pPr>
        <w:spacing w:line="560" w:lineRule="exact"/>
        <w:rPr>
          <w:rFonts w:ascii="宋体" w:eastAsia="宋体" w:hAnsi="宋体"/>
          <w:sz w:val="24"/>
          <w:szCs w:val="24"/>
        </w:rPr>
      </w:pPr>
      <w:r>
        <w:lastRenderedPageBreak/>
        <w:br/>
      </w:r>
      <w:bookmarkStart w:id="0" w:name="_GoBack"/>
      <w:bookmarkEnd w:id="0"/>
      <w:r w:rsidRPr="00B45E40">
        <w:rPr>
          <w:rFonts w:ascii="宋体" w:eastAsia="宋体" w:hAnsi="宋体"/>
          <w:sz w:val="24"/>
          <w:szCs w:val="24"/>
        </w:rPr>
        <w:t>若潜在应答人数量≥3家，具备中国合格评定国家认可委员会（CNAS）认可的“实验室认可证书”，中国国家认证认可监督管理机构颁发的检验检测机构资质认定证书（CMA），ISO9001质量管理体系认证证书，ISO27001信息安全管理体系认证证书，ISO14001环境管理体系认证证书。</w:t>
      </w:r>
      <w:r w:rsidRPr="00B45E40">
        <w:rPr>
          <w:rFonts w:ascii="宋体" w:eastAsia="宋体" w:hAnsi="宋体" w:hint="eastAsia"/>
          <w:sz w:val="24"/>
          <w:szCs w:val="24"/>
        </w:rPr>
        <w:t xml:space="preserve"> </w:t>
      </w:r>
    </w:p>
    <w:p w:rsidR="005B49FB" w:rsidRDefault="00B45E40">
      <w:pPr>
        <w:spacing w:line="560" w:lineRule="exact"/>
        <w:rPr>
          <w:rFonts w:ascii="宋体" w:eastAsia="宋体" w:hAnsi="宋体"/>
          <w:sz w:val="24"/>
          <w:szCs w:val="24"/>
        </w:rPr>
      </w:pPr>
      <w:r>
        <w:rPr>
          <w:rFonts w:ascii="宋体" w:eastAsia="宋体" w:hAnsi="宋体" w:hint="eastAsia"/>
          <w:sz w:val="24"/>
          <w:szCs w:val="24"/>
        </w:rPr>
        <w:t>四</w:t>
      </w:r>
      <w:r w:rsidR="0009581F">
        <w:rPr>
          <w:rFonts w:ascii="宋体" w:eastAsia="宋体" w:hAnsi="宋体" w:hint="eastAsia"/>
          <w:sz w:val="24"/>
          <w:szCs w:val="24"/>
        </w:rPr>
        <w:t>、报价单格式</w:t>
      </w:r>
    </w:p>
    <w:tbl>
      <w:tblPr>
        <w:tblStyle w:val="a7"/>
        <w:tblW w:w="0" w:type="auto"/>
        <w:tblLook w:val="04A0" w:firstRow="1" w:lastRow="0" w:firstColumn="1" w:lastColumn="0" w:noHBand="0" w:noVBand="1"/>
      </w:tblPr>
      <w:tblGrid>
        <w:gridCol w:w="1037"/>
        <w:gridCol w:w="1037"/>
        <w:gridCol w:w="1037"/>
        <w:gridCol w:w="1037"/>
        <w:gridCol w:w="1037"/>
        <w:gridCol w:w="1037"/>
        <w:gridCol w:w="1037"/>
        <w:gridCol w:w="1037"/>
      </w:tblGrid>
      <w:tr w:rsidR="005B49FB">
        <w:tc>
          <w:tcPr>
            <w:tcW w:w="1037" w:type="dxa"/>
          </w:tcPr>
          <w:p w:rsidR="005B49FB" w:rsidRDefault="0009581F">
            <w:pPr>
              <w:rPr>
                <w:rFonts w:ascii="宋体" w:eastAsia="宋体" w:hAnsi="宋体"/>
                <w:szCs w:val="21"/>
              </w:rPr>
            </w:pPr>
            <w:r>
              <w:rPr>
                <w:rFonts w:ascii="宋体" w:eastAsia="宋体" w:hAnsi="宋体" w:hint="eastAsia"/>
                <w:szCs w:val="21"/>
              </w:rPr>
              <w:t>序号</w:t>
            </w:r>
          </w:p>
        </w:tc>
        <w:tc>
          <w:tcPr>
            <w:tcW w:w="1037" w:type="dxa"/>
          </w:tcPr>
          <w:p w:rsidR="005B49FB" w:rsidRDefault="0009581F">
            <w:pPr>
              <w:rPr>
                <w:rFonts w:ascii="宋体" w:eastAsia="宋体" w:hAnsi="宋体"/>
                <w:szCs w:val="21"/>
              </w:rPr>
            </w:pPr>
            <w:r>
              <w:rPr>
                <w:rFonts w:ascii="宋体" w:eastAsia="宋体" w:hAnsi="宋体" w:hint="eastAsia"/>
                <w:szCs w:val="21"/>
              </w:rPr>
              <w:t>名称</w:t>
            </w:r>
          </w:p>
        </w:tc>
        <w:tc>
          <w:tcPr>
            <w:tcW w:w="1037" w:type="dxa"/>
          </w:tcPr>
          <w:p w:rsidR="005B49FB" w:rsidRDefault="0009581F">
            <w:pPr>
              <w:rPr>
                <w:rFonts w:ascii="宋体" w:eastAsia="宋体" w:hAnsi="宋体"/>
                <w:szCs w:val="21"/>
              </w:rPr>
            </w:pPr>
            <w:r>
              <w:rPr>
                <w:rFonts w:ascii="宋体" w:eastAsia="宋体" w:hAnsi="宋体" w:hint="eastAsia"/>
                <w:szCs w:val="21"/>
              </w:rPr>
              <w:t>参数要求</w:t>
            </w:r>
          </w:p>
        </w:tc>
        <w:tc>
          <w:tcPr>
            <w:tcW w:w="1037" w:type="dxa"/>
          </w:tcPr>
          <w:p w:rsidR="005B49FB" w:rsidRDefault="0009581F">
            <w:pPr>
              <w:rPr>
                <w:rFonts w:ascii="宋体" w:eastAsia="宋体" w:hAnsi="宋体"/>
                <w:szCs w:val="21"/>
              </w:rPr>
            </w:pPr>
            <w:r>
              <w:rPr>
                <w:rFonts w:ascii="宋体" w:eastAsia="宋体" w:hAnsi="宋体" w:hint="eastAsia"/>
                <w:szCs w:val="21"/>
              </w:rPr>
              <w:t>响应情况说明</w:t>
            </w:r>
          </w:p>
        </w:tc>
        <w:tc>
          <w:tcPr>
            <w:tcW w:w="1037" w:type="dxa"/>
          </w:tcPr>
          <w:p w:rsidR="005B49FB" w:rsidRDefault="0009581F">
            <w:pPr>
              <w:rPr>
                <w:rFonts w:ascii="宋体" w:eastAsia="宋体" w:hAnsi="宋体"/>
                <w:szCs w:val="21"/>
              </w:rPr>
            </w:pPr>
            <w:r>
              <w:rPr>
                <w:rFonts w:ascii="宋体" w:eastAsia="宋体" w:hAnsi="宋体" w:hint="eastAsia"/>
                <w:szCs w:val="21"/>
              </w:rPr>
              <w:t>单价</w:t>
            </w:r>
          </w:p>
        </w:tc>
        <w:tc>
          <w:tcPr>
            <w:tcW w:w="1037" w:type="dxa"/>
          </w:tcPr>
          <w:p w:rsidR="005B49FB" w:rsidRDefault="0009581F">
            <w:pPr>
              <w:rPr>
                <w:rFonts w:ascii="宋体" w:eastAsia="宋体" w:hAnsi="宋体"/>
                <w:szCs w:val="21"/>
              </w:rPr>
            </w:pPr>
            <w:r>
              <w:rPr>
                <w:rFonts w:ascii="宋体" w:eastAsia="宋体" w:hAnsi="宋体" w:hint="eastAsia"/>
                <w:szCs w:val="21"/>
              </w:rPr>
              <w:t>数量</w:t>
            </w:r>
          </w:p>
        </w:tc>
        <w:tc>
          <w:tcPr>
            <w:tcW w:w="1037" w:type="dxa"/>
          </w:tcPr>
          <w:p w:rsidR="005B49FB" w:rsidRDefault="0009581F">
            <w:pPr>
              <w:rPr>
                <w:rFonts w:ascii="宋体" w:eastAsia="宋体" w:hAnsi="宋体"/>
                <w:szCs w:val="21"/>
              </w:rPr>
            </w:pPr>
            <w:r>
              <w:rPr>
                <w:rFonts w:ascii="宋体" w:eastAsia="宋体" w:hAnsi="宋体" w:hint="eastAsia"/>
                <w:szCs w:val="21"/>
              </w:rPr>
              <w:t>总价</w:t>
            </w:r>
          </w:p>
        </w:tc>
        <w:tc>
          <w:tcPr>
            <w:tcW w:w="1037" w:type="dxa"/>
          </w:tcPr>
          <w:p w:rsidR="005B49FB" w:rsidRDefault="0009581F">
            <w:pPr>
              <w:rPr>
                <w:rFonts w:ascii="宋体" w:eastAsia="宋体" w:hAnsi="宋体"/>
                <w:szCs w:val="21"/>
              </w:rPr>
            </w:pPr>
            <w:r>
              <w:rPr>
                <w:rFonts w:ascii="宋体" w:eastAsia="宋体" w:hAnsi="宋体" w:hint="eastAsia"/>
                <w:szCs w:val="21"/>
              </w:rPr>
              <w:t>备注</w:t>
            </w:r>
          </w:p>
        </w:tc>
      </w:tr>
      <w:tr w:rsidR="005B49FB">
        <w:tc>
          <w:tcPr>
            <w:tcW w:w="1037" w:type="dxa"/>
          </w:tcPr>
          <w:p w:rsidR="005B49FB" w:rsidRDefault="0009581F">
            <w:pPr>
              <w:rPr>
                <w:rFonts w:ascii="宋体" w:eastAsia="宋体" w:hAnsi="宋体"/>
                <w:szCs w:val="21"/>
              </w:rPr>
            </w:pPr>
            <w:r>
              <w:rPr>
                <w:rFonts w:ascii="宋体" w:eastAsia="宋体" w:hAnsi="宋体" w:hint="eastAsia"/>
                <w:szCs w:val="21"/>
              </w:rPr>
              <w:t>1</w:t>
            </w:r>
          </w:p>
        </w:tc>
        <w:tc>
          <w:tcPr>
            <w:tcW w:w="1037" w:type="dxa"/>
          </w:tcPr>
          <w:p w:rsidR="005B49FB" w:rsidRDefault="00E5694E">
            <w:pPr>
              <w:rPr>
                <w:rFonts w:ascii="宋体" w:eastAsia="宋体" w:hAnsi="宋体"/>
                <w:szCs w:val="21"/>
              </w:rPr>
            </w:pPr>
            <w:r>
              <w:rPr>
                <w:rFonts w:ascii="宋体" w:eastAsia="宋体" w:hAnsi="宋体" w:hint="eastAsia"/>
                <w:szCs w:val="21"/>
              </w:rPr>
              <w:t>第三方软件测试服务</w:t>
            </w: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09581F">
            <w:pPr>
              <w:rPr>
                <w:rFonts w:ascii="宋体" w:eastAsia="宋体" w:hAnsi="宋体"/>
                <w:szCs w:val="21"/>
              </w:rPr>
            </w:pPr>
            <w:r>
              <w:rPr>
                <w:rFonts w:ascii="宋体" w:eastAsia="宋体" w:hAnsi="宋体" w:hint="eastAsia"/>
                <w:szCs w:val="21"/>
              </w:rPr>
              <w:t>1</w:t>
            </w: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r>
      <w:tr w:rsidR="005B49FB">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c>
          <w:tcPr>
            <w:tcW w:w="1037" w:type="dxa"/>
          </w:tcPr>
          <w:p w:rsidR="005B49FB" w:rsidRDefault="005B49FB">
            <w:pPr>
              <w:rPr>
                <w:rFonts w:ascii="宋体" w:eastAsia="宋体" w:hAnsi="宋体"/>
                <w:szCs w:val="21"/>
              </w:rPr>
            </w:pPr>
          </w:p>
        </w:tc>
      </w:tr>
    </w:tbl>
    <w:p w:rsidR="005B49FB" w:rsidRDefault="005B49FB"/>
    <w:sectPr w:rsidR="005B4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9E" w:rsidRDefault="00727E9E" w:rsidP="00E5694E">
      <w:r>
        <w:separator/>
      </w:r>
    </w:p>
  </w:endnote>
  <w:endnote w:type="continuationSeparator" w:id="0">
    <w:p w:rsidR="00727E9E" w:rsidRDefault="00727E9E" w:rsidP="00E5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9E" w:rsidRDefault="00727E9E" w:rsidP="00E5694E">
      <w:r>
        <w:separator/>
      </w:r>
    </w:p>
  </w:footnote>
  <w:footnote w:type="continuationSeparator" w:id="0">
    <w:p w:rsidR="00727E9E" w:rsidRDefault="00727E9E" w:rsidP="00E56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MjcwNTcxNzVmZDY0YjZhOWYwMjBjZmJlZTI3NjEifQ=="/>
  </w:docVars>
  <w:rsids>
    <w:rsidRoot w:val="00630119"/>
    <w:rsid w:val="0001217C"/>
    <w:rsid w:val="00027D7B"/>
    <w:rsid w:val="0009581F"/>
    <w:rsid w:val="00423E53"/>
    <w:rsid w:val="00486AF9"/>
    <w:rsid w:val="005B49FB"/>
    <w:rsid w:val="0061572F"/>
    <w:rsid w:val="00630119"/>
    <w:rsid w:val="00716570"/>
    <w:rsid w:val="00727E9E"/>
    <w:rsid w:val="0075783C"/>
    <w:rsid w:val="008D2A59"/>
    <w:rsid w:val="00B45E40"/>
    <w:rsid w:val="00D7587D"/>
    <w:rsid w:val="00E02ED5"/>
    <w:rsid w:val="00E17B99"/>
    <w:rsid w:val="00E5694E"/>
    <w:rsid w:val="00FA13FF"/>
    <w:rsid w:val="00FA4B16"/>
    <w:rsid w:val="00FF438A"/>
    <w:rsid w:val="1877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37089"/>
  <w15:docId w15:val="{3C06D9DE-8E92-4451-906E-BCAAFB3C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dc:creator>
  <cp:lastModifiedBy>张</cp:lastModifiedBy>
  <cp:revision>2</cp:revision>
  <dcterms:created xsi:type="dcterms:W3CDTF">2022-10-20T09:05:00Z</dcterms:created>
  <dcterms:modified xsi:type="dcterms:W3CDTF">2022-10-20T09:05:00Z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7DFBC69291CD4D60A45BE1D8079B4CE2</vt:lpwstr>
  </property>
</Properties>
</file>